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7118" w:rsidRPr="000032C8" w:rsidRDefault="00927118" w:rsidP="00927118">
      <w:pPr>
        <w:adjustRightInd w:val="0"/>
        <w:spacing w:after="0" w:line="240" w:lineRule="auto"/>
        <w:jc w:val="center"/>
        <w:rPr>
          <w:rFonts w:ascii="Times New Roman" w:eastAsia="Times New Roman" w:hAnsi="Times New Roman" w:cs="Calibri"/>
          <w:b/>
          <w:caps/>
          <w:sz w:val="28"/>
          <w:szCs w:val="28"/>
        </w:rPr>
      </w:pPr>
      <w:bookmarkStart w:id="0" w:name="_GoBack"/>
      <w:bookmarkEnd w:id="0"/>
      <w:r w:rsidRPr="000032C8">
        <w:rPr>
          <w:rFonts w:ascii="Times New Roman" w:eastAsia="Times New Roman" w:hAnsi="Times New Roman" w:cs="Calibri"/>
          <w:b/>
          <w:caps/>
          <w:sz w:val="28"/>
          <w:szCs w:val="28"/>
        </w:rPr>
        <w:t>Vyhodnotenie medzirezortného pripomienkového konania</w:t>
      </w:r>
    </w:p>
    <w:p w:rsidR="00927118" w:rsidRPr="00024402" w:rsidRDefault="00927118" w:rsidP="00927118">
      <w:pPr>
        <w:jc w:val="center"/>
      </w:pPr>
    </w:p>
    <w:p w:rsidR="00C205F8" w:rsidRDefault="00C205F8">
      <w:pPr>
        <w:jc w:val="center"/>
        <w:divId w:val="471560187"/>
        <w:rPr>
          <w:rFonts w:ascii="Times" w:hAnsi="Times" w:cs="Times"/>
          <w:sz w:val="25"/>
          <w:szCs w:val="25"/>
        </w:rPr>
      </w:pPr>
      <w:r>
        <w:rPr>
          <w:rFonts w:ascii="Times" w:hAnsi="Times" w:cs="Times"/>
          <w:sz w:val="25"/>
          <w:szCs w:val="25"/>
        </w:rPr>
        <w:t>Správa o pôsobení Slovenskej republiky v aktivitách medzinárodného krízového manažmentu za rok 2018</w:t>
      </w:r>
    </w:p>
    <w:p w:rsidR="00927118" w:rsidRPr="00024402" w:rsidRDefault="00927118" w:rsidP="00CE47A6"/>
    <w:tbl>
      <w:tblPr>
        <w:tblW w:w="15598" w:type="dxa"/>
        <w:tblCellMar>
          <w:left w:w="0" w:type="dxa"/>
          <w:right w:w="0" w:type="dxa"/>
        </w:tblCellMar>
        <w:tblLook w:val="0000" w:firstRow="0" w:lastRow="0" w:firstColumn="0" w:lastColumn="0" w:noHBand="0" w:noVBand="0"/>
      </w:tblPr>
      <w:tblGrid>
        <w:gridCol w:w="7797"/>
        <w:gridCol w:w="7801"/>
      </w:tblGrid>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Spôsob pripomienkového konania</w:t>
            </w: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r w:rsidRPr="00024402">
              <w:rPr>
                <w:rFonts w:ascii="Times New Roman" w:hAnsi="Times New Roman" w:cs="Calibri"/>
                <w:sz w:val="20"/>
                <w:szCs w:val="20"/>
              </w:rPr>
              <w:t> </w:t>
            </w:r>
          </w:p>
        </w:tc>
      </w:tr>
      <w:tr w:rsidR="00A251BF" w:rsidRPr="00024402" w:rsidTr="00B76589">
        <w:tc>
          <w:tcPr>
            <w:tcW w:w="7797" w:type="dxa"/>
            <w:tcBorders>
              <w:top w:val="nil"/>
              <w:left w:val="nil"/>
              <w:bottom w:val="nil"/>
              <w:right w:val="nil"/>
            </w:tcBorders>
          </w:tcPr>
          <w:p w:rsidR="00A251BF" w:rsidRPr="000032C8" w:rsidRDefault="00A251BF"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vznesených pripomienok, z toho zásadných</w:t>
            </w:r>
          </w:p>
        </w:tc>
        <w:tc>
          <w:tcPr>
            <w:tcW w:w="7801" w:type="dxa"/>
            <w:tcBorders>
              <w:top w:val="nil"/>
              <w:left w:val="nil"/>
              <w:bottom w:val="nil"/>
              <w:right w:val="nil"/>
            </w:tcBorders>
          </w:tcPr>
          <w:p w:rsidR="00A251BF" w:rsidRPr="00024402" w:rsidRDefault="00C205F8" w:rsidP="00C205F8">
            <w:pPr>
              <w:spacing w:after="0" w:line="240" w:lineRule="auto"/>
              <w:rPr>
                <w:rFonts w:ascii="Times New Roman" w:hAnsi="Times New Roman" w:cs="Calibri"/>
                <w:sz w:val="20"/>
                <w:szCs w:val="20"/>
              </w:rPr>
            </w:pPr>
            <w:r>
              <w:rPr>
                <w:rFonts w:ascii="Times" w:hAnsi="Times" w:cs="Times"/>
                <w:sz w:val="25"/>
                <w:szCs w:val="25"/>
              </w:rPr>
              <w:t>17 /0</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vyhodnotených pripomienok</w:t>
            </w:r>
          </w:p>
        </w:tc>
        <w:tc>
          <w:tcPr>
            <w:tcW w:w="7801" w:type="dxa"/>
            <w:tcBorders>
              <w:top w:val="nil"/>
              <w:left w:val="nil"/>
              <w:bottom w:val="nil"/>
              <w:right w:val="nil"/>
            </w:tcBorders>
          </w:tcPr>
          <w:p w:rsidR="00927118" w:rsidRPr="00024402" w:rsidRDefault="00C205F8" w:rsidP="00C205F8">
            <w:pPr>
              <w:spacing w:after="0" w:line="240" w:lineRule="auto"/>
              <w:rPr>
                <w:rFonts w:ascii="Times New Roman" w:hAnsi="Times New Roman" w:cs="Calibri"/>
                <w:sz w:val="20"/>
                <w:szCs w:val="20"/>
              </w:rPr>
            </w:pPr>
            <w:r>
              <w:rPr>
                <w:rFonts w:ascii="Times" w:hAnsi="Times" w:cs="Times"/>
                <w:sz w:val="25"/>
                <w:szCs w:val="25"/>
              </w:rPr>
              <w:t>17</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akceptovaných pripomienok, z toho zásadných</w:t>
            </w:r>
          </w:p>
        </w:tc>
        <w:tc>
          <w:tcPr>
            <w:tcW w:w="7801" w:type="dxa"/>
            <w:tcBorders>
              <w:top w:val="nil"/>
              <w:left w:val="nil"/>
              <w:bottom w:val="nil"/>
              <w:right w:val="nil"/>
            </w:tcBorders>
          </w:tcPr>
          <w:p w:rsidR="00927118" w:rsidRPr="00024402" w:rsidRDefault="00C205F8" w:rsidP="00C205F8">
            <w:pPr>
              <w:spacing w:after="0" w:line="240" w:lineRule="auto"/>
              <w:rPr>
                <w:rFonts w:ascii="Times New Roman" w:hAnsi="Times New Roman" w:cs="Calibri"/>
                <w:sz w:val="20"/>
                <w:szCs w:val="20"/>
              </w:rPr>
            </w:pPr>
            <w:r>
              <w:rPr>
                <w:rFonts w:ascii="Times" w:hAnsi="Times" w:cs="Times"/>
                <w:sz w:val="25"/>
                <w:szCs w:val="25"/>
              </w:rPr>
              <w:t>17 /0</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čiastočne akceptovaných pripomienok, z toho zásadných</w:t>
            </w:r>
          </w:p>
        </w:tc>
        <w:tc>
          <w:tcPr>
            <w:tcW w:w="7801" w:type="dxa"/>
            <w:tcBorders>
              <w:top w:val="nil"/>
              <w:left w:val="nil"/>
              <w:bottom w:val="nil"/>
              <w:right w:val="nil"/>
            </w:tcBorders>
          </w:tcPr>
          <w:p w:rsidR="00927118" w:rsidRPr="00024402" w:rsidRDefault="00C205F8" w:rsidP="00C205F8">
            <w:pPr>
              <w:spacing w:after="0" w:line="240" w:lineRule="auto"/>
              <w:rPr>
                <w:rFonts w:ascii="Times New Roman" w:hAnsi="Times New Roman" w:cs="Calibri"/>
                <w:sz w:val="20"/>
                <w:szCs w:val="20"/>
              </w:rPr>
            </w:pPr>
            <w:r>
              <w:rPr>
                <w:rFonts w:ascii="Times" w:hAnsi="Times" w:cs="Times"/>
                <w:sz w:val="25"/>
                <w:szCs w:val="25"/>
              </w:rPr>
              <w:t>0 /0</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neakceptovaných pripomienok, z toho zásadných</w:t>
            </w:r>
          </w:p>
        </w:tc>
        <w:tc>
          <w:tcPr>
            <w:tcW w:w="7801" w:type="dxa"/>
            <w:tcBorders>
              <w:top w:val="nil"/>
              <w:left w:val="nil"/>
              <w:bottom w:val="nil"/>
              <w:right w:val="nil"/>
            </w:tcBorders>
          </w:tcPr>
          <w:p w:rsidR="00927118" w:rsidRPr="00024402" w:rsidRDefault="00C205F8" w:rsidP="00C205F8">
            <w:pPr>
              <w:spacing w:after="0" w:line="240" w:lineRule="auto"/>
              <w:rPr>
                <w:rFonts w:ascii="Times New Roman" w:hAnsi="Times New Roman" w:cs="Calibri"/>
                <w:sz w:val="20"/>
                <w:szCs w:val="20"/>
              </w:rPr>
            </w:pPr>
            <w:r>
              <w:rPr>
                <w:rFonts w:ascii="Times" w:hAnsi="Times" w:cs="Times"/>
                <w:sz w:val="25"/>
                <w:szCs w:val="25"/>
              </w:rPr>
              <w:t>0 /0</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bCs/>
                <w:sz w:val="25"/>
                <w:szCs w:val="25"/>
              </w:rPr>
            </w:pP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bCs/>
                <w:sz w:val="25"/>
                <w:szCs w:val="25"/>
              </w:rPr>
              <w:t>Rozporové konanie (s kým, kedy, s akým výsledkom)</w:t>
            </w: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bCs/>
                <w:sz w:val="25"/>
                <w:szCs w:val="25"/>
              </w:rPr>
            </w:pPr>
            <w:r w:rsidRPr="000032C8">
              <w:rPr>
                <w:rFonts w:ascii="Times New Roman" w:hAnsi="Times New Roman" w:cs="Calibri"/>
                <w:bCs/>
                <w:sz w:val="25"/>
                <w:szCs w:val="25"/>
              </w:rPr>
              <w:t>Počet odstránených pripomienok</w:t>
            </w: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bCs/>
                <w:sz w:val="25"/>
                <w:szCs w:val="25"/>
              </w:rPr>
            </w:pPr>
            <w:r w:rsidRPr="000032C8">
              <w:rPr>
                <w:rFonts w:ascii="Times New Roman" w:hAnsi="Times New Roman" w:cs="Calibri"/>
                <w:bCs/>
                <w:sz w:val="25"/>
                <w:szCs w:val="25"/>
              </w:rPr>
              <w:t>Počet neodstránených pripomienok</w:t>
            </w: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bl>
    <w:p w:rsidR="00927118" w:rsidRPr="00024402" w:rsidRDefault="00927118" w:rsidP="00927118">
      <w:pPr>
        <w:spacing w:after="0" w:line="240" w:lineRule="auto"/>
        <w:rPr>
          <w:rFonts w:ascii="Times New Roman" w:hAnsi="Times New Roman" w:cs="Calibri"/>
          <w:b/>
          <w:sz w:val="20"/>
          <w:szCs w:val="20"/>
        </w:rPr>
      </w:pPr>
    </w:p>
    <w:p w:rsidR="00927118" w:rsidRPr="000032C8" w:rsidRDefault="00927118" w:rsidP="00927118">
      <w:pPr>
        <w:spacing w:after="0" w:line="240" w:lineRule="auto"/>
        <w:rPr>
          <w:sz w:val="25"/>
          <w:szCs w:val="25"/>
        </w:rPr>
      </w:pPr>
      <w:r w:rsidRPr="000032C8">
        <w:rPr>
          <w:rFonts w:ascii="Times New Roman" w:hAnsi="Times New Roman" w:cs="Calibri"/>
          <w:sz w:val="25"/>
          <w:szCs w:val="25"/>
        </w:rPr>
        <w:t>Sumarizácia vznesených pripomienok podľa subjektov</w:t>
      </w:r>
    </w:p>
    <w:p w:rsidR="00C205F8" w:rsidRDefault="00C205F8" w:rsidP="00841FA6"/>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328"/>
        <w:gridCol w:w="7712"/>
        <w:gridCol w:w="1404"/>
        <w:gridCol w:w="1404"/>
        <w:gridCol w:w="1391"/>
        <w:gridCol w:w="1034"/>
      </w:tblGrid>
      <w:tr w:rsidR="00C205F8">
        <w:trPr>
          <w:divId w:val="1085570679"/>
          <w:jc w:val="center"/>
        </w:trPr>
        <w:tc>
          <w:tcPr>
            <w:tcW w:w="15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b/>
                <w:bCs/>
                <w:sz w:val="25"/>
                <w:szCs w:val="25"/>
              </w:rPr>
            </w:pPr>
            <w:r>
              <w:rPr>
                <w:rFonts w:ascii="Times" w:hAnsi="Times" w:cs="Times"/>
                <w:b/>
                <w:bCs/>
                <w:sz w:val="25"/>
                <w:szCs w:val="25"/>
              </w:rPr>
              <w:t>Č.</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b/>
                <w:bCs/>
                <w:sz w:val="25"/>
                <w:szCs w:val="25"/>
              </w:rPr>
            </w:pPr>
            <w:r>
              <w:rPr>
                <w:rFonts w:ascii="Times" w:hAnsi="Times" w:cs="Times"/>
                <w:b/>
                <w:bCs/>
                <w:sz w:val="25"/>
                <w:szCs w:val="25"/>
              </w:rPr>
              <w:t>Subjekt</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b/>
                <w:bCs/>
                <w:sz w:val="25"/>
                <w:szCs w:val="25"/>
              </w:rPr>
            </w:pPr>
            <w:r>
              <w:rPr>
                <w:rFonts w:ascii="Times" w:hAnsi="Times" w:cs="Times"/>
                <w:b/>
                <w:bCs/>
                <w:sz w:val="25"/>
                <w:szCs w:val="25"/>
              </w:rPr>
              <w:t>Pripomienky do termínu</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b/>
                <w:bCs/>
                <w:sz w:val="25"/>
                <w:szCs w:val="25"/>
              </w:rPr>
            </w:pPr>
            <w:r>
              <w:rPr>
                <w:rFonts w:ascii="Times" w:hAnsi="Times" w:cs="Times"/>
                <w:b/>
                <w:bCs/>
                <w:sz w:val="25"/>
                <w:szCs w:val="25"/>
              </w:rPr>
              <w:t>Pripomienky po termíne</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b/>
                <w:bCs/>
                <w:sz w:val="25"/>
                <w:szCs w:val="25"/>
              </w:rPr>
            </w:pPr>
            <w:r>
              <w:rPr>
                <w:rFonts w:ascii="Times" w:hAnsi="Times" w:cs="Times"/>
                <w:b/>
                <w:bCs/>
                <w:sz w:val="25"/>
                <w:szCs w:val="25"/>
              </w:rPr>
              <w:t>Nemali pripomienky</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b/>
                <w:bCs/>
                <w:sz w:val="25"/>
                <w:szCs w:val="25"/>
              </w:rPr>
            </w:pPr>
            <w:r>
              <w:rPr>
                <w:rFonts w:ascii="Times" w:hAnsi="Times" w:cs="Times"/>
                <w:b/>
                <w:bCs/>
                <w:sz w:val="25"/>
                <w:szCs w:val="25"/>
              </w:rPr>
              <w:t>Vôbec nezaslali</w:t>
            </w:r>
          </w:p>
        </w:tc>
      </w:tr>
      <w:tr w:rsidR="00C205F8">
        <w:trPr>
          <w:divId w:val="1085570679"/>
          <w:jc w:val="center"/>
        </w:trPr>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1.</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rPr>
                <w:rFonts w:ascii="Times" w:hAnsi="Times" w:cs="Times"/>
                <w:sz w:val="25"/>
                <w:szCs w:val="25"/>
              </w:rPr>
            </w:pPr>
            <w:r>
              <w:rPr>
                <w:rFonts w:ascii="Times" w:hAnsi="Times" w:cs="Times"/>
                <w:sz w:val="25"/>
                <w:szCs w:val="25"/>
              </w:rPr>
              <w:t>Asociácia zamestnávatelských zväzov a združení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sz w:val="20"/>
                <w:szCs w:val="20"/>
              </w:rPr>
            </w:pPr>
          </w:p>
        </w:tc>
      </w:tr>
      <w:tr w:rsidR="00C205F8">
        <w:trPr>
          <w:divId w:val="1085570679"/>
          <w:jc w:val="center"/>
        </w:trPr>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2.</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rPr>
                <w:rFonts w:ascii="Times" w:hAnsi="Times" w:cs="Times"/>
                <w:sz w:val="25"/>
                <w:szCs w:val="25"/>
              </w:rPr>
            </w:pPr>
            <w:r>
              <w:rPr>
                <w:rFonts w:ascii="Times" w:hAnsi="Times" w:cs="Times"/>
                <w:sz w:val="25"/>
                <w:szCs w:val="25"/>
              </w:rPr>
              <w:t>Generálna prokuratúra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sz w:val="20"/>
                <w:szCs w:val="20"/>
              </w:rPr>
            </w:pPr>
          </w:p>
        </w:tc>
      </w:tr>
      <w:tr w:rsidR="00C205F8">
        <w:trPr>
          <w:divId w:val="1085570679"/>
          <w:jc w:val="center"/>
        </w:trPr>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3.</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rPr>
                <w:rFonts w:ascii="Times" w:hAnsi="Times" w:cs="Times"/>
                <w:sz w:val="25"/>
                <w:szCs w:val="25"/>
              </w:rPr>
            </w:pPr>
            <w:r>
              <w:rPr>
                <w:rFonts w:ascii="Times" w:hAnsi="Times" w:cs="Times"/>
                <w:sz w:val="25"/>
                <w:szCs w:val="25"/>
              </w:rPr>
              <w:t>Ministerstvo financií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2 (2o,0z)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sz w:val="20"/>
                <w:szCs w:val="20"/>
              </w:rPr>
            </w:pPr>
          </w:p>
        </w:tc>
      </w:tr>
      <w:tr w:rsidR="00C205F8">
        <w:trPr>
          <w:divId w:val="1085570679"/>
          <w:jc w:val="center"/>
        </w:trPr>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4.</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rPr>
                <w:rFonts w:ascii="Times" w:hAnsi="Times" w:cs="Times"/>
                <w:sz w:val="25"/>
                <w:szCs w:val="25"/>
              </w:rPr>
            </w:pPr>
            <w:r>
              <w:rPr>
                <w:rFonts w:ascii="Times" w:hAnsi="Times" w:cs="Times"/>
                <w:sz w:val="25"/>
                <w:szCs w:val="25"/>
              </w:rPr>
              <w:t>Ministerstvo obrany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11 (11o,0z)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sz w:val="20"/>
                <w:szCs w:val="20"/>
              </w:rPr>
            </w:pPr>
          </w:p>
        </w:tc>
      </w:tr>
      <w:tr w:rsidR="00C205F8">
        <w:trPr>
          <w:divId w:val="1085570679"/>
          <w:jc w:val="center"/>
        </w:trPr>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lastRenderedPageBreak/>
              <w:t>5.</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rPr>
                <w:rFonts w:ascii="Times" w:hAnsi="Times" w:cs="Times"/>
                <w:sz w:val="25"/>
                <w:szCs w:val="25"/>
              </w:rPr>
            </w:pPr>
            <w:r>
              <w:rPr>
                <w:rFonts w:ascii="Times" w:hAnsi="Times" w:cs="Times"/>
                <w:sz w:val="25"/>
                <w:szCs w:val="25"/>
              </w:rPr>
              <w:t>Ministerstvo spravodlivosti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sz w:val="20"/>
                <w:szCs w:val="20"/>
              </w:rPr>
            </w:pPr>
          </w:p>
        </w:tc>
      </w:tr>
      <w:tr w:rsidR="00C205F8">
        <w:trPr>
          <w:divId w:val="1085570679"/>
          <w:jc w:val="center"/>
        </w:trPr>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6.</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rPr>
                <w:rFonts w:ascii="Times" w:hAnsi="Times" w:cs="Times"/>
                <w:sz w:val="25"/>
                <w:szCs w:val="25"/>
              </w:rPr>
            </w:pPr>
            <w:r>
              <w:rPr>
                <w:rFonts w:ascii="Times" w:hAnsi="Times" w:cs="Times"/>
                <w:sz w:val="25"/>
                <w:szCs w:val="25"/>
              </w:rPr>
              <w:t>Národná banka Slovenska</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sz w:val="20"/>
                <w:szCs w:val="20"/>
              </w:rPr>
            </w:pPr>
          </w:p>
        </w:tc>
      </w:tr>
      <w:tr w:rsidR="00C205F8">
        <w:trPr>
          <w:divId w:val="1085570679"/>
          <w:jc w:val="center"/>
        </w:trPr>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7.</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rPr>
                <w:rFonts w:ascii="Times" w:hAnsi="Times" w:cs="Times"/>
                <w:sz w:val="25"/>
                <w:szCs w:val="25"/>
              </w:rPr>
            </w:pPr>
            <w:r>
              <w:rPr>
                <w:rFonts w:ascii="Times" w:hAnsi="Times" w:cs="Times"/>
                <w:sz w:val="25"/>
                <w:szCs w:val="25"/>
              </w:rPr>
              <w:t>Štatistický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p>
        </w:tc>
      </w:tr>
      <w:tr w:rsidR="00C205F8">
        <w:trPr>
          <w:divId w:val="1085570679"/>
          <w:jc w:val="center"/>
        </w:trPr>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8.</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rPr>
                <w:rFonts w:ascii="Times" w:hAnsi="Times" w:cs="Times"/>
                <w:sz w:val="25"/>
                <w:szCs w:val="25"/>
              </w:rPr>
            </w:pPr>
            <w:r>
              <w:rPr>
                <w:rFonts w:ascii="Times" w:hAnsi="Times" w:cs="Times"/>
                <w:sz w:val="25"/>
                <w:szCs w:val="25"/>
              </w:rPr>
              <w:t>Ministerstvo životného prostredia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p>
        </w:tc>
      </w:tr>
      <w:tr w:rsidR="00C205F8">
        <w:trPr>
          <w:divId w:val="1085570679"/>
          <w:jc w:val="center"/>
        </w:trPr>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9.</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rPr>
                <w:rFonts w:ascii="Times" w:hAnsi="Times" w:cs="Times"/>
                <w:sz w:val="25"/>
                <w:szCs w:val="25"/>
              </w:rPr>
            </w:pPr>
            <w:r>
              <w:rPr>
                <w:rFonts w:ascii="Times" w:hAnsi="Times" w:cs="Times"/>
                <w:sz w:val="25"/>
                <w:szCs w:val="25"/>
              </w:rPr>
              <w:t>Ministerstvo školstva, vedy, výskumu a športu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p>
        </w:tc>
      </w:tr>
      <w:tr w:rsidR="00C205F8">
        <w:trPr>
          <w:divId w:val="1085570679"/>
          <w:jc w:val="center"/>
        </w:trPr>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10.</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rPr>
                <w:rFonts w:ascii="Times" w:hAnsi="Times" w:cs="Times"/>
                <w:sz w:val="25"/>
                <w:szCs w:val="25"/>
              </w:rPr>
            </w:pPr>
            <w:r>
              <w:rPr>
                <w:rFonts w:ascii="Times" w:hAnsi="Times" w:cs="Times"/>
                <w:sz w:val="25"/>
                <w:szCs w:val="25"/>
              </w:rPr>
              <w:t>Ministerstvo hospodárstva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p>
        </w:tc>
      </w:tr>
      <w:tr w:rsidR="00C205F8">
        <w:trPr>
          <w:divId w:val="1085570679"/>
          <w:jc w:val="center"/>
        </w:trPr>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11.</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rPr>
                <w:rFonts w:ascii="Times" w:hAnsi="Times" w:cs="Times"/>
                <w:sz w:val="25"/>
                <w:szCs w:val="25"/>
              </w:rPr>
            </w:pPr>
            <w:r>
              <w:rPr>
                <w:rFonts w:ascii="Times" w:hAnsi="Times" w:cs="Times"/>
                <w:sz w:val="25"/>
                <w:szCs w:val="25"/>
              </w:rPr>
              <w:t>Ministerstvo pôdohospodárstva a rozvoja vidieka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p>
        </w:tc>
      </w:tr>
      <w:tr w:rsidR="00C205F8">
        <w:trPr>
          <w:divId w:val="1085570679"/>
          <w:jc w:val="center"/>
        </w:trPr>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12.</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rPr>
                <w:rFonts w:ascii="Times" w:hAnsi="Times" w:cs="Times"/>
                <w:sz w:val="25"/>
                <w:szCs w:val="25"/>
              </w:rPr>
            </w:pPr>
            <w:r>
              <w:rPr>
                <w:rFonts w:ascii="Times" w:hAnsi="Times" w:cs="Times"/>
                <w:sz w:val="25"/>
                <w:szCs w:val="25"/>
              </w:rPr>
              <w:t>Ministerstvo práce, sociálnych vecí a rodiny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p>
        </w:tc>
      </w:tr>
      <w:tr w:rsidR="00C205F8">
        <w:trPr>
          <w:divId w:val="1085570679"/>
          <w:jc w:val="center"/>
        </w:trPr>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13.</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rPr>
                <w:rFonts w:ascii="Times" w:hAnsi="Times" w:cs="Times"/>
                <w:sz w:val="25"/>
                <w:szCs w:val="25"/>
              </w:rPr>
            </w:pPr>
            <w:r>
              <w:rPr>
                <w:rFonts w:ascii="Times" w:hAnsi="Times" w:cs="Times"/>
                <w:sz w:val="25"/>
                <w:szCs w:val="25"/>
              </w:rPr>
              <w:t>Úrad pre verejné obstarávanie</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p>
        </w:tc>
      </w:tr>
      <w:tr w:rsidR="00C205F8">
        <w:trPr>
          <w:divId w:val="1085570679"/>
          <w:jc w:val="center"/>
        </w:trPr>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14.</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rPr>
                <w:rFonts w:ascii="Times" w:hAnsi="Times" w:cs="Times"/>
                <w:sz w:val="25"/>
                <w:szCs w:val="25"/>
              </w:rPr>
            </w:pPr>
            <w:r>
              <w:rPr>
                <w:rFonts w:ascii="Times" w:hAnsi="Times" w:cs="Times"/>
                <w:sz w:val="25"/>
                <w:szCs w:val="25"/>
              </w:rPr>
              <w:t>Úrad pre normalizáciu, metrológiu a skúšobníctvo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p>
        </w:tc>
      </w:tr>
      <w:tr w:rsidR="00C205F8">
        <w:trPr>
          <w:divId w:val="1085570679"/>
          <w:jc w:val="center"/>
        </w:trPr>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15.</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rPr>
                <w:rFonts w:ascii="Times" w:hAnsi="Times" w:cs="Times"/>
                <w:sz w:val="25"/>
                <w:szCs w:val="25"/>
              </w:rPr>
            </w:pPr>
            <w:r>
              <w:rPr>
                <w:rFonts w:ascii="Times" w:hAnsi="Times" w:cs="Times"/>
                <w:sz w:val="25"/>
                <w:szCs w:val="25"/>
              </w:rPr>
              <w:t>Ministerstvo vnútra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p>
        </w:tc>
      </w:tr>
      <w:tr w:rsidR="00C205F8">
        <w:trPr>
          <w:divId w:val="1085570679"/>
          <w:jc w:val="center"/>
        </w:trPr>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16.</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rPr>
                <w:rFonts w:ascii="Times" w:hAnsi="Times" w:cs="Times"/>
                <w:sz w:val="25"/>
                <w:szCs w:val="25"/>
              </w:rPr>
            </w:pPr>
            <w:r>
              <w:rPr>
                <w:rFonts w:ascii="Times" w:hAnsi="Times" w:cs="Times"/>
                <w:sz w:val="25"/>
                <w:szCs w:val="25"/>
              </w:rPr>
              <w:t>Ministerstvo kultúry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p>
        </w:tc>
      </w:tr>
      <w:tr w:rsidR="00C205F8">
        <w:trPr>
          <w:divId w:val="1085570679"/>
          <w:jc w:val="center"/>
        </w:trPr>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17.</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rPr>
                <w:rFonts w:ascii="Times" w:hAnsi="Times" w:cs="Times"/>
                <w:sz w:val="25"/>
                <w:szCs w:val="25"/>
              </w:rPr>
            </w:pPr>
            <w:r>
              <w:rPr>
                <w:rFonts w:ascii="Times" w:hAnsi="Times" w:cs="Times"/>
                <w:sz w:val="25"/>
                <w:szCs w:val="25"/>
              </w:rPr>
              <w:t>Úrad priemyselného vlastníctva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p>
        </w:tc>
      </w:tr>
      <w:tr w:rsidR="00C205F8">
        <w:trPr>
          <w:divId w:val="1085570679"/>
          <w:jc w:val="center"/>
        </w:trPr>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18.</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rPr>
                <w:rFonts w:ascii="Times" w:hAnsi="Times" w:cs="Times"/>
                <w:sz w:val="25"/>
                <w:szCs w:val="25"/>
              </w:rPr>
            </w:pPr>
            <w:r>
              <w:rPr>
                <w:rFonts w:ascii="Times" w:hAnsi="Times" w:cs="Times"/>
                <w:sz w:val="25"/>
                <w:szCs w:val="25"/>
              </w:rPr>
              <w:t>Národný bezpečnostný úrad</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p>
        </w:tc>
      </w:tr>
      <w:tr w:rsidR="00C205F8">
        <w:trPr>
          <w:divId w:val="1085570679"/>
          <w:jc w:val="center"/>
        </w:trPr>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19.</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rPr>
                <w:rFonts w:ascii="Times" w:hAnsi="Times" w:cs="Times"/>
                <w:sz w:val="25"/>
                <w:szCs w:val="25"/>
              </w:rPr>
            </w:pPr>
            <w:r>
              <w:rPr>
                <w:rFonts w:ascii="Times" w:hAnsi="Times" w:cs="Times"/>
                <w:sz w:val="25"/>
                <w:szCs w:val="25"/>
              </w:rPr>
              <w:t>Ministerstvo zdravotníctva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p>
        </w:tc>
      </w:tr>
      <w:tr w:rsidR="00C205F8">
        <w:trPr>
          <w:divId w:val="1085570679"/>
          <w:jc w:val="center"/>
        </w:trPr>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20.</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rPr>
                <w:rFonts w:ascii="Times" w:hAnsi="Times" w:cs="Times"/>
                <w:sz w:val="25"/>
                <w:szCs w:val="25"/>
              </w:rPr>
            </w:pPr>
            <w:r>
              <w:rPr>
                <w:rFonts w:ascii="Times" w:hAnsi="Times" w:cs="Times"/>
                <w:sz w:val="25"/>
                <w:szCs w:val="25"/>
              </w:rPr>
              <w:t>Ministerstvo dopravy a výstavby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p>
        </w:tc>
      </w:tr>
      <w:tr w:rsidR="00C205F8">
        <w:trPr>
          <w:divId w:val="1085570679"/>
          <w:jc w:val="center"/>
        </w:trPr>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21.</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rPr>
                <w:rFonts w:ascii="Times" w:hAnsi="Times" w:cs="Times"/>
                <w:sz w:val="25"/>
                <w:szCs w:val="25"/>
              </w:rPr>
            </w:pPr>
            <w:r>
              <w:rPr>
                <w:rFonts w:ascii="Times" w:hAnsi="Times" w:cs="Times"/>
                <w:sz w:val="25"/>
                <w:szCs w:val="25"/>
              </w:rPr>
              <w:t>Úrad vlády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p>
        </w:tc>
      </w:tr>
      <w:tr w:rsidR="00C205F8">
        <w:trPr>
          <w:divId w:val="1085570679"/>
          <w:jc w:val="center"/>
        </w:trPr>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lastRenderedPageBreak/>
              <w:t>22.</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rPr>
                <w:rFonts w:ascii="Times" w:hAnsi="Times" w:cs="Times"/>
                <w:sz w:val="25"/>
                <w:szCs w:val="25"/>
              </w:rPr>
            </w:pPr>
            <w:r>
              <w:rPr>
                <w:rFonts w:ascii="Times" w:hAnsi="Times" w:cs="Times"/>
                <w:sz w:val="25"/>
                <w:szCs w:val="25"/>
              </w:rPr>
              <w:t>Úrad jadrového dozoru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p>
        </w:tc>
      </w:tr>
      <w:tr w:rsidR="00C205F8">
        <w:trPr>
          <w:divId w:val="1085570679"/>
          <w:jc w:val="center"/>
        </w:trPr>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23.</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rPr>
                <w:rFonts w:ascii="Times" w:hAnsi="Times" w:cs="Times"/>
                <w:sz w:val="25"/>
                <w:szCs w:val="25"/>
              </w:rPr>
            </w:pPr>
            <w:r>
              <w:rPr>
                <w:rFonts w:ascii="Times" w:hAnsi="Times" w:cs="Times"/>
                <w:sz w:val="25"/>
                <w:szCs w:val="25"/>
              </w:rPr>
              <w:t>Úrad podpredsedu vlády Slovenskej republiky pre investície a informatizáciu</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p>
        </w:tc>
      </w:tr>
      <w:tr w:rsidR="00C205F8">
        <w:trPr>
          <w:divId w:val="1085570679"/>
          <w:jc w:val="center"/>
        </w:trPr>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24.</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rPr>
                <w:rFonts w:ascii="Times" w:hAnsi="Times" w:cs="Times"/>
                <w:sz w:val="25"/>
                <w:szCs w:val="25"/>
              </w:rPr>
            </w:pPr>
            <w:r>
              <w:rPr>
                <w:rFonts w:ascii="Times" w:hAnsi="Times" w:cs="Times"/>
                <w:sz w:val="25"/>
                <w:szCs w:val="25"/>
              </w:rPr>
              <w:t>Protimonopolný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p>
        </w:tc>
      </w:tr>
      <w:tr w:rsidR="00C205F8">
        <w:trPr>
          <w:divId w:val="1085570679"/>
          <w:jc w:val="center"/>
        </w:trPr>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25.</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rPr>
                <w:rFonts w:ascii="Times" w:hAnsi="Times" w:cs="Times"/>
                <w:sz w:val="25"/>
                <w:szCs w:val="25"/>
              </w:rPr>
            </w:pPr>
            <w:r>
              <w:rPr>
                <w:rFonts w:ascii="Times" w:hAnsi="Times" w:cs="Times"/>
                <w:sz w:val="25"/>
                <w:szCs w:val="25"/>
              </w:rPr>
              <w:t>Ministerstvo zahraničných vecí a európskych záležitostí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x</w:t>
            </w:r>
          </w:p>
        </w:tc>
      </w:tr>
      <w:tr w:rsidR="00C205F8">
        <w:trPr>
          <w:divId w:val="1085570679"/>
          <w:jc w:val="center"/>
        </w:trPr>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26.</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rPr>
                <w:rFonts w:ascii="Times" w:hAnsi="Times" w:cs="Times"/>
                <w:sz w:val="25"/>
                <w:szCs w:val="25"/>
              </w:rPr>
            </w:pPr>
            <w:r>
              <w:rPr>
                <w:rFonts w:ascii="Times" w:hAnsi="Times" w:cs="Times"/>
                <w:sz w:val="25"/>
                <w:szCs w:val="25"/>
              </w:rPr>
              <w:t>Úrad geodézie, kartografie a katastra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x</w:t>
            </w:r>
          </w:p>
        </w:tc>
      </w:tr>
      <w:tr w:rsidR="00C205F8">
        <w:trPr>
          <w:divId w:val="1085570679"/>
          <w:jc w:val="center"/>
        </w:trPr>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27.</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rPr>
                <w:rFonts w:ascii="Times" w:hAnsi="Times" w:cs="Times"/>
                <w:sz w:val="25"/>
                <w:szCs w:val="25"/>
              </w:rPr>
            </w:pPr>
            <w:r>
              <w:rPr>
                <w:rFonts w:ascii="Times" w:hAnsi="Times" w:cs="Times"/>
                <w:sz w:val="25"/>
                <w:szCs w:val="25"/>
              </w:rPr>
              <w:t>Správa štátnych hmotných rezerv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x</w:t>
            </w:r>
          </w:p>
        </w:tc>
      </w:tr>
      <w:tr w:rsidR="00C205F8">
        <w:trPr>
          <w:divId w:val="1085570679"/>
          <w:jc w:val="center"/>
        </w:trPr>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28.</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rPr>
                <w:rFonts w:ascii="Times" w:hAnsi="Times" w:cs="Times"/>
                <w:sz w:val="25"/>
                <w:szCs w:val="25"/>
              </w:rPr>
            </w:pPr>
            <w:r>
              <w:rPr>
                <w:rFonts w:ascii="Times" w:hAnsi="Times" w:cs="Times"/>
                <w:sz w:val="25"/>
                <w:szCs w:val="25"/>
              </w:rPr>
              <w:t>Najvyšší kontrolný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x</w:t>
            </w:r>
          </w:p>
        </w:tc>
      </w:tr>
      <w:tr w:rsidR="00C205F8">
        <w:trPr>
          <w:divId w:val="1085570679"/>
          <w:jc w:val="center"/>
        </w:trPr>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29.</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rPr>
                <w:rFonts w:ascii="Times" w:hAnsi="Times" w:cs="Times"/>
                <w:sz w:val="25"/>
                <w:szCs w:val="25"/>
              </w:rPr>
            </w:pPr>
            <w:r>
              <w:rPr>
                <w:rFonts w:ascii="Times" w:hAnsi="Times" w:cs="Times"/>
                <w:sz w:val="25"/>
                <w:szCs w:val="25"/>
              </w:rPr>
              <w:t>Najvyšší súd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x</w:t>
            </w:r>
          </w:p>
        </w:tc>
      </w:tr>
      <w:tr w:rsidR="00C205F8">
        <w:trPr>
          <w:divId w:val="1085570679"/>
          <w:jc w:val="center"/>
        </w:trPr>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30.</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rPr>
                <w:rFonts w:ascii="Times" w:hAnsi="Times" w:cs="Times"/>
                <w:sz w:val="25"/>
                <w:szCs w:val="25"/>
              </w:rPr>
            </w:pPr>
            <w:r>
              <w:rPr>
                <w:rFonts w:ascii="Times" w:hAnsi="Times" w:cs="Times"/>
                <w:sz w:val="25"/>
                <w:szCs w:val="25"/>
              </w:rPr>
              <w:t>Národná rada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x</w:t>
            </w:r>
          </w:p>
        </w:tc>
      </w:tr>
      <w:tr w:rsidR="00C205F8">
        <w:trPr>
          <w:divId w:val="1085570679"/>
          <w:jc w:val="center"/>
        </w:trPr>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31.</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rPr>
                <w:rFonts w:ascii="Times" w:hAnsi="Times" w:cs="Times"/>
                <w:sz w:val="25"/>
                <w:szCs w:val="25"/>
              </w:rPr>
            </w:pPr>
            <w:r>
              <w:rPr>
                <w:rFonts w:ascii="Times" w:hAnsi="Times" w:cs="Times"/>
                <w:sz w:val="25"/>
                <w:szCs w:val="25"/>
              </w:rPr>
              <w:t>Kancelária Ústavného súdu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x</w:t>
            </w:r>
          </w:p>
        </w:tc>
      </w:tr>
      <w:tr w:rsidR="00C205F8">
        <w:trPr>
          <w:divId w:val="1085570679"/>
          <w:jc w:val="center"/>
        </w:trPr>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32.</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rPr>
                <w:rFonts w:ascii="Times" w:hAnsi="Times" w:cs="Times"/>
                <w:sz w:val="25"/>
                <w:szCs w:val="25"/>
              </w:rPr>
            </w:pPr>
            <w:r>
              <w:rPr>
                <w:rFonts w:ascii="Times" w:hAnsi="Times" w:cs="Times"/>
                <w:sz w:val="25"/>
                <w:szCs w:val="25"/>
              </w:rPr>
              <w:t>Odbor aproximácie práva sekcie vládnej legislatívy Úradu vlády SR</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x</w:t>
            </w:r>
          </w:p>
        </w:tc>
      </w:tr>
      <w:tr w:rsidR="00C205F8">
        <w:trPr>
          <w:divId w:val="1085570679"/>
          <w:jc w:val="center"/>
        </w:trPr>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33.</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rPr>
                <w:rFonts w:ascii="Times" w:hAnsi="Times" w:cs="Times"/>
                <w:sz w:val="25"/>
                <w:szCs w:val="25"/>
              </w:rPr>
            </w:pPr>
            <w:r>
              <w:rPr>
                <w:rFonts w:ascii="Times" w:hAnsi="Times" w:cs="Times"/>
                <w:sz w:val="25"/>
                <w:szCs w:val="25"/>
              </w:rPr>
              <w:t>Slovenská poľnohospodárska a potravinárska komora</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x</w:t>
            </w:r>
          </w:p>
        </w:tc>
      </w:tr>
      <w:tr w:rsidR="00C205F8">
        <w:trPr>
          <w:divId w:val="1085570679"/>
          <w:jc w:val="center"/>
        </w:trPr>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34.</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rPr>
                <w:rFonts w:ascii="Times" w:hAnsi="Times" w:cs="Times"/>
                <w:sz w:val="25"/>
                <w:szCs w:val="25"/>
              </w:rPr>
            </w:pPr>
            <w:r>
              <w:rPr>
                <w:rFonts w:ascii="Times" w:hAnsi="Times" w:cs="Times"/>
                <w:sz w:val="25"/>
                <w:szCs w:val="25"/>
              </w:rPr>
              <w:t>Združenie miest a obcí Slovenska</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x</w:t>
            </w:r>
          </w:p>
        </w:tc>
      </w:tr>
      <w:tr w:rsidR="00C205F8">
        <w:trPr>
          <w:divId w:val="1085570679"/>
          <w:jc w:val="center"/>
        </w:trPr>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35.</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rPr>
                <w:rFonts w:ascii="Times" w:hAnsi="Times" w:cs="Times"/>
                <w:sz w:val="25"/>
                <w:szCs w:val="25"/>
              </w:rPr>
            </w:pPr>
            <w:r>
              <w:rPr>
                <w:rFonts w:ascii="Times" w:hAnsi="Times" w:cs="Times"/>
                <w:sz w:val="25"/>
                <w:szCs w:val="25"/>
              </w:rPr>
              <w:t>Splnomocnenec vlády Slovenskej republiky pre rómske komunity</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x</w:t>
            </w:r>
          </w:p>
        </w:tc>
      </w:tr>
      <w:tr w:rsidR="00C205F8">
        <w:trPr>
          <w:divId w:val="1085570679"/>
          <w:jc w:val="center"/>
        </w:trPr>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36.</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rPr>
                <w:rFonts w:ascii="Times" w:hAnsi="Times" w:cs="Times"/>
                <w:sz w:val="25"/>
                <w:szCs w:val="25"/>
              </w:rPr>
            </w:pPr>
            <w:r>
              <w:rPr>
                <w:rFonts w:ascii="Times" w:hAnsi="Times" w:cs="Times"/>
                <w:sz w:val="25"/>
                <w:szCs w:val="25"/>
              </w:rPr>
              <w:t>Konfederácia odborových zväzov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x</w:t>
            </w:r>
          </w:p>
        </w:tc>
      </w:tr>
      <w:tr w:rsidR="00C205F8">
        <w:trPr>
          <w:divId w:val="1085570679"/>
          <w:jc w:val="center"/>
        </w:trPr>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37.</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rPr>
                <w:rFonts w:ascii="Times" w:hAnsi="Times" w:cs="Times"/>
                <w:sz w:val="25"/>
                <w:szCs w:val="25"/>
              </w:rPr>
            </w:pPr>
            <w:r>
              <w:rPr>
                <w:rFonts w:ascii="Times" w:hAnsi="Times" w:cs="Times"/>
                <w:sz w:val="25"/>
                <w:szCs w:val="25"/>
              </w:rPr>
              <w:t>Republiková únia zamestnávateľov</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x</w:t>
            </w:r>
          </w:p>
        </w:tc>
      </w:tr>
      <w:tr w:rsidR="00C205F8">
        <w:trPr>
          <w:divId w:val="1085570679"/>
          <w:jc w:val="center"/>
        </w:trPr>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lastRenderedPageBreak/>
              <w:t>38.</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rPr>
                <w:rFonts w:ascii="Times" w:hAnsi="Times" w:cs="Times"/>
                <w:sz w:val="25"/>
                <w:szCs w:val="25"/>
              </w:rPr>
            </w:pPr>
            <w:r>
              <w:rPr>
                <w:rFonts w:ascii="Times" w:hAnsi="Times" w:cs="Times"/>
                <w:sz w:val="25"/>
                <w:szCs w:val="25"/>
              </w:rPr>
              <w:t>Úrad pre dohľad nad zdravotnou starostlivosťou</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x</w:t>
            </w:r>
          </w:p>
        </w:tc>
      </w:tr>
      <w:tr w:rsidR="00C205F8">
        <w:trPr>
          <w:divId w:val="1085570679"/>
          <w:jc w:val="center"/>
        </w:trPr>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39.</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rPr>
                <w:rFonts w:ascii="Times" w:hAnsi="Times" w:cs="Times"/>
                <w:sz w:val="25"/>
                <w:szCs w:val="25"/>
              </w:rPr>
            </w:pPr>
            <w:r>
              <w:rPr>
                <w:rFonts w:ascii="Times" w:hAnsi="Times" w:cs="Times"/>
                <w:sz w:val="25"/>
                <w:szCs w:val="25"/>
              </w:rPr>
              <w:t>Konferencia biskupov Slovenska</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x</w:t>
            </w:r>
          </w:p>
        </w:tc>
      </w:tr>
      <w:tr w:rsidR="00C205F8">
        <w:trPr>
          <w:divId w:val="1085570679"/>
          <w:jc w:val="center"/>
        </w:trPr>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40.</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rPr>
                <w:rFonts w:ascii="Times" w:hAnsi="Times" w:cs="Times"/>
                <w:sz w:val="25"/>
                <w:szCs w:val="25"/>
              </w:rPr>
            </w:pPr>
            <w:r>
              <w:rPr>
                <w:rFonts w:ascii="Times" w:hAnsi="Times" w:cs="Times"/>
                <w:sz w:val="25"/>
                <w:szCs w:val="25"/>
              </w:rPr>
              <w:t>Asociácia priemyselných zväzov</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x</w:t>
            </w:r>
          </w:p>
        </w:tc>
      </w:tr>
      <w:tr w:rsidR="00C205F8">
        <w:trPr>
          <w:divId w:val="1085570679"/>
          <w:jc w:val="center"/>
        </w:trPr>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rPr>
                <w:rFonts w:ascii="Times" w:hAnsi="Times" w:cs="Times"/>
                <w:sz w:val="25"/>
                <w:szCs w:val="25"/>
              </w:rPr>
            </w:pPr>
            <w:r>
              <w:rPr>
                <w:rFonts w:ascii="Times" w:hAnsi="Times" w:cs="Times"/>
                <w:sz w:val="25"/>
                <w:szCs w:val="25"/>
              </w:rPr>
              <w:t>Spolu</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17 (17o,0z)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205F8" w:rsidRDefault="00C205F8">
            <w:pPr>
              <w:jc w:val="center"/>
              <w:rPr>
                <w:sz w:val="20"/>
                <w:szCs w:val="20"/>
              </w:rPr>
            </w:pPr>
          </w:p>
        </w:tc>
      </w:tr>
    </w:tbl>
    <w:p w:rsidR="00BF7CE0" w:rsidRPr="00BF7CE0" w:rsidRDefault="00BF7CE0" w:rsidP="00841FA6">
      <w:pPr>
        <w:rPr>
          <w:b/>
          <w:bCs/>
          <w:color w:val="000000"/>
          <w:sz w:val="20"/>
          <w:szCs w:val="20"/>
        </w:rPr>
      </w:pPr>
      <w:r w:rsidRPr="009F7218">
        <w:rPr>
          <w:rFonts w:ascii="Times New Roman" w:eastAsia="Times New Roman" w:hAnsi="Times New Roman" w:cs="Times New Roman"/>
          <w:bCs/>
          <w:color w:val="000000"/>
          <w:sz w:val="25"/>
          <w:szCs w:val="25"/>
          <w:lang w:eastAsia="sk-SK"/>
        </w:rPr>
        <w:t>Vyhodnotenie vecných pripomienok je uvedené v tabuľkovej časti.</w:t>
      </w:r>
    </w:p>
    <w:p w:rsidR="00BF7CE0" w:rsidRPr="00BF7CE0" w:rsidRDefault="00BF7CE0" w:rsidP="00BF7CE0">
      <w:pPr>
        <w:pStyle w:val="Zkladntext"/>
        <w:widowControl/>
        <w:jc w:val="both"/>
        <w:rPr>
          <w:b w:val="0"/>
          <w:bCs w:val="0"/>
          <w:color w:val="000000"/>
          <w:sz w:val="20"/>
          <w:szCs w:val="20"/>
        </w:rPr>
      </w:pPr>
    </w:p>
    <w:tbl>
      <w:tblPr>
        <w:tblW w:w="0" w:type="auto"/>
        <w:tblLook w:val="0000" w:firstRow="0" w:lastRow="0" w:firstColumn="0" w:lastColumn="0" w:noHBand="0" w:noVBand="0"/>
      </w:tblPr>
      <w:tblGrid>
        <w:gridCol w:w="1809"/>
        <w:gridCol w:w="3119"/>
      </w:tblGrid>
      <w:tr w:rsidR="00BF7CE0" w:rsidRPr="00BF7CE0" w:rsidTr="00943EB2">
        <w:trPr>
          <w:cantSplit/>
        </w:trPr>
        <w:tc>
          <w:tcPr>
            <w:tcW w:w="4928" w:type="dxa"/>
            <w:gridSpan w:val="2"/>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Vysvetlivky  k použitým skratkám v tabuľke:</w:t>
            </w:r>
          </w:p>
        </w:tc>
      </w:tr>
      <w:tr w:rsidR="00BF7CE0" w:rsidRPr="00BF7CE0" w:rsidTr="00943EB2">
        <w:trPr>
          <w:cantSplit/>
        </w:trPr>
        <w:tc>
          <w:tcPr>
            <w:tcW w:w="180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O – obyčajná</w:t>
            </w:r>
          </w:p>
        </w:tc>
        <w:tc>
          <w:tcPr>
            <w:tcW w:w="311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A – akceptovaná</w:t>
            </w:r>
          </w:p>
        </w:tc>
      </w:tr>
      <w:tr w:rsidR="00BF7CE0" w:rsidRPr="00BF7CE0" w:rsidTr="00943EB2">
        <w:trPr>
          <w:cantSplit/>
        </w:trPr>
        <w:tc>
          <w:tcPr>
            <w:tcW w:w="180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Z – zásadná</w:t>
            </w:r>
          </w:p>
        </w:tc>
        <w:tc>
          <w:tcPr>
            <w:tcW w:w="311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N – neakceptovaná</w:t>
            </w:r>
          </w:p>
        </w:tc>
      </w:tr>
      <w:tr w:rsidR="00BF7CE0" w:rsidRPr="00856FFA" w:rsidTr="00943EB2">
        <w:trPr>
          <w:cantSplit/>
        </w:trPr>
        <w:tc>
          <w:tcPr>
            <w:tcW w:w="180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p>
        </w:tc>
        <w:tc>
          <w:tcPr>
            <w:tcW w:w="311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ČA – čiastočne akceptovaná</w:t>
            </w:r>
          </w:p>
        </w:tc>
      </w:tr>
    </w:tbl>
    <w:p w:rsidR="00E85710" w:rsidRDefault="00E85710">
      <w:r>
        <w:br w:type="page"/>
      </w:r>
    </w:p>
    <w:p w:rsidR="00C205F8" w:rsidRDefault="00C205F8" w:rsidP="00CE47A6">
      <w:pPr>
        <w:rPr>
          <w:rFonts w:ascii="Consolas" w:hAnsi="Consolas" w:cs="Consolas"/>
          <w:sz w:val="20"/>
          <w:szCs w:val="20"/>
        </w:rPr>
      </w:pPr>
    </w:p>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1326"/>
        <w:gridCol w:w="6637"/>
        <w:gridCol w:w="664"/>
        <w:gridCol w:w="664"/>
        <w:gridCol w:w="3982"/>
      </w:tblGrid>
      <w:tr w:rsidR="00C205F8">
        <w:trPr>
          <w:divId w:val="113148266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b/>
                <w:bCs/>
                <w:sz w:val="25"/>
                <w:szCs w:val="25"/>
              </w:rPr>
            </w:pPr>
            <w:r>
              <w:rPr>
                <w:rFonts w:ascii="Times" w:hAnsi="Times" w:cs="Times"/>
                <w:b/>
                <w:bCs/>
                <w:sz w:val="25"/>
                <w:szCs w:val="25"/>
              </w:rPr>
              <w:t>Subjekt</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b/>
                <w:bCs/>
                <w:sz w:val="25"/>
                <w:szCs w:val="25"/>
              </w:rPr>
            </w:pPr>
            <w:r>
              <w:rPr>
                <w:rFonts w:ascii="Times" w:hAnsi="Times" w:cs="Times"/>
                <w:b/>
                <w:bCs/>
                <w:sz w:val="25"/>
                <w:szCs w:val="25"/>
              </w:rPr>
              <w:t>Pripomienka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b/>
                <w:bCs/>
                <w:sz w:val="25"/>
                <w:szCs w:val="25"/>
              </w:rPr>
            </w:pPr>
            <w:r>
              <w:rPr>
                <w:rFonts w:ascii="Times" w:hAnsi="Times" w:cs="Times"/>
                <w:b/>
                <w:bCs/>
                <w:sz w:val="25"/>
                <w:szCs w:val="25"/>
              </w:rPr>
              <w:t>Typ</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b/>
                <w:bCs/>
                <w:sz w:val="25"/>
                <w:szCs w:val="25"/>
              </w:rPr>
            </w:pPr>
            <w:r>
              <w:rPr>
                <w:rFonts w:ascii="Times" w:hAnsi="Times" w:cs="Times"/>
                <w:b/>
                <w:bCs/>
                <w:sz w:val="25"/>
                <w:szCs w:val="25"/>
              </w:rPr>
              <w:t>Vyh.</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b/>
                <w:bCs/>
                <w:sz w:val="25"/>
                <w:szCs w:val="25"/>
              </w:rPr>
            </w:pPr>
            <w:r>
              <w:rPr>
                <w:rFonts w:ascii="Times" w:hAnsi="Times" w:cs="Times"/>
                <w:b/>
                <w:bCs/>
                <w:sz w:val="25"/>
                <w:szCs w:val="25"/>
              </w:rPr>
              <w:t>Spôsob vyhodnotenia</w:t>
            </w:r>
          </w:p>
        </w:tc>
      </w:tr>
      <w:tr w:rsidR="00C205F8">
        <w:trPr>
          <w:divId w:val="113148266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b/>
                <w:bCs/>
                <w:sz w:val="25"/>
                <w:szCs w:val="25"/>
              </w:rPr>
            </w:pPr>
            <w:r>
              <w:rPr>
                <w:rFonts w:ascii="Times" w:hAnsi="Times" w:cs="Times"/>
                <w:b/>
                <w:bCs/>
                <w:sz w:val="25"/>
                <w:szCs w:val="25"/>
              </w:rPr>
              <w:t>AZZZ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rPr>
                <w:rFonts w:ascii="Times" w:hAnsi="Times" w:cs="Times"/>
                <w:sz w:val="25"/>
                <w:szCs w:val="25"/>
              </w:rPr>
            </w:pPr>
            <w:r>
              <w:rPr>
                <w:rFonts w:ascii="Times" w:hAnsi="Times" w:cs="Times"/>
                <w:sz w:val="25"/>
                <w:szCs w:val="25"/>
              </w:rPr>
              <w:br/>
              <w:t>bez pripomienky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rPr>
                <w:rFonts w:ascii="Times" w:hAnsi="Times" w:cs="Times"/>
                <w:sz w:val="25"/>
                <w:szCs w:val="25"/>
              </w:rPr>
            </w:pPr>
            <w:r>
              <w:rPr>
                <w:rFonts w:ascii="Times" w:hAnsi="Times" w:cs="Times"/>
                <w:sz w:val="25"/>
                <w:szCs w:val="25"/>
              </w:rPr>
              <w:t>Akceptované</w:t>
            </w:r>
          </w:p>
        </w:tc>
      </w:tr>
      <w:tr w:rsidR="00C205F8">
        <w:trPr>
          <w:divId w:val="113148266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b/>
                <w:bCs/>
                <w:sz w:val="25"/>
                <w:szCs w:val="25"/>
              </w:rPr>
            </w:pPr>
            <w:r>
              <w:rPr>
                <w:rFonts w:ascii="Times" w:hAnsi="Times" w:cs="Times"/>
                <w:b/>
                <w:bCs/>
                <w:sz w:val="25"/>
                <w:szCs w:val="25"/>
              </w:rPr>
              <w:t>GPSR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rPr>
                <w:rFonts w:ascii="Times" w:hAnsi="Times" w:cs="Times"/>
                <w:sz w:val="25"/>
                <w:szCs w:val="25"/>
              </w:rPr>
            </w:pPr>
            <w:r>
              <w:rPr>
                <w:rFonts w:ascii="Times" w:hAnsi="Times" w:cs="Times"/>
                <w:sz w:val="25"/>
                <w:szCs w:val="25"/>
              </w:rPr>
              <w:br/>
              <w:t xml:space="preserve">K vlastnému materiálu všeobecne K predloženému materiálu považujeme za potrebné uviesť, že dňa 15. februára 2019 sa na Ministerstve zahraničných vecí a európskych záležitostí Slovenskej republiky konalo pracovné rokovanie Koordinačného výboru k pôsobeniu civilných expertov Slovenskej republiky v aktivitách medzinárodného krízového manažmentu (§ 8 zákona č. 503/2011 Z. z.), ktorého členom je aj zástupca Generálnej prokuratúry Slovenskej republiky. Jedným z cieľov stretnutia bola diskusia k aktuálnemu návrhu správy predloženému na medzirezortné pripomienkové konanie. Pri tejto príležitosti sa prediskutovala aj príprava Národného implementačného plánu v oblasti civilného krízového manažmentu Európskej únie (tzv. civilný NIP). Úloha spracovať NIP vyplýva z implementácie tzv. „civilného kompaktu“, ktorý bol schválený Radou Európskej únie v novembri 2018. Na základe poznatkov získaných zo zapojenia do uvedeného procesu uvádzame nasledovné skutočnosti vo vzťahu k predmetnému medzirezortnému pripomienkovému konaniu: Materiál okrem samotného hodnotenia zapojenia v aktivitách medzinárodného krízového manažmentu prináša podstatné skutočnosti v oblasti vytýčenia priorít zahranično-politických záujmov Slovenskej republiky na rok 2019. Z </w:t>
            </w:r>
            <w:r>
              <w:rPr>
                <w:rFonts w:ascii="Times" w:hAnsi="Times" w:cs="Times"/>
                <w:sz w:val="25"/>
                <w:szCs w:val="25"/>
              </w:rPr>
              <w:lastRenderedPageBreak/>
              <w:t xml:space="preserve">hľadiska presahu na rezort prokuratúry dokument reálne odráža skutočnosť, že experti prokuratúry v roku 2018 neboli priamo zapojení do konkrétnych aktivít medzinárodného krízového manažmentu. Na rozdiel od predchádzajúcich rokov sa však v správe už nijakým spôsobom neuvádza priama referencia na prokuratúru a súdy. V tej súvislosti podotýkame, že minuloročná výročná správa obsahovala výzvu pre Generálnu prokuratúru SR: „Vzhľadom na aktuálnu situáciu vo svete by bolo dobré rozšíriť spektrum spôsobilostí v rámci pôsobenia Slovenskej republiky v medzinárodnom krízovom manažmente. V tejto súvislosti by bolo obzvlášť vítané zastúpenie predstaviteľov Ministerstva spravodlivosti SR a Generálnej prokuratúry SR v misiách medzinárodného krízového manažmentu.“. Na tejto skutočnosti by sa nemalo nič zmeniť, avšak v zmysle záverov rokovania Koordinačného výboru bude ešte všeobecne zvýraznený aspekt účasti na misiách v oblasti právneho štátu. Uznesenie vlády, ktorým sa správa schvaľuje, bude „dané na vedomie“ - generálnemu prokurátorovi Slovenskej republiky. Nad rámec vyššie uvedeného, avšak v súvisiacom kontexte poukazujeme na to, že v rámci Plánu merateľných ukazovateľov z programovej štruktúry Generálnej prokuratúry Slovenskej republiky na roky 2019-2021 – sú zohľadnené prostriedky na financovanie podprogramu OAU04 - Civilný krízový manažment v oblasti prokuratúry – GP SR vo výške 20.000 EUR. Rezort prokuratúry dlhodobo eviduje štyroch civilných expertov: 1) JUDr. Ing. Ladislava Majerníka, 2) JUDr. Annu Ondrejovú, LLM, 3) JUDr. Juraja Novockého, PhD. a 4) JUDr. Jaroslava Palkoviča, PhD., ktorí sú aktuálne zaradení do registra vedeného Ministerstvom </w:t>
            </w:r>
            <w:r>
              <w:rPr>
                <w:rFonts w:ascii="Times" w:hAnsi="Times" w:cs="Times"/>
                <w:sz w:val="25"/>
                <w:szCs w:val="25"/>
              </w:rPr>
              <w:lastRenderedPageBreak/>
              <w:t>zahraničných vecí a európskych záležitostí Slovenskej republiky podľa § 9 zákona č. 503/2011 Z. z. o vysielaní civilných expertov na výkon práce v aktivitách krízového manažmentu mimo územia Slovenskej republiky a o zmene a doplnení niektorých zákonov.</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rPr>
                <w:rFonts w:ascii="Times" w:hAnsi="Times" w:cs="Times"/>
                <w:sz w:val="25"/>
                <w:szCs w:val="25"/>
              </w:rPr>
            </w:pPr>
            <w:r>
              <w:rPr>
                <w:rFonts w:ascii="Times" w:hAnsi="Times" w:cs="Times"/>
                <w:sz w:val="25"/>
                <w:szCs w:val="25"/>
              </w:rPr>
              <w:t xml:space="preserve">Akceptované: Informácia o rokovaní Koordinačného výboru k pôsobeniu civilných expertov SR v aktivitách MKM (§ 8 zákona č. 503/2011 Z. z.) bola zapracovaná do predkladacej správy. Akceptované: Informácia o príprave Národného implementačného plánu v oblasti civilného krízového manažmentu EÚ (tzv. civilný NIP) bola zapracovaná do záverečnej kapitoly materiálu. Akceptované: Referencia na vítané zastúpenie predstaviteľov MS SR a GP SR v misiách medzinárodného krízového manažmentu bola zapracovaná do záverečnej kapitoly materiálu v znení: „Taktiež je potrebné hľadať možnosti pre zapojenie sa do aktivít na podporu budovania a posilňovania kapacít právneho štátu.“. Akceptované: Uznesenie vlády SR, ktorým sa správa schvaľuje, bude dané na vedomie </w:t>
            </w:r>
            <w:r>
              <w:rPr>
                <w:rFonts w:ascii="Times" w:hAnsi="Times" w:cs="Times"/>
                <w:sz w:val="25"/>
                <w:szCs w:val="25"/>
              </w:rPr>
              <w:lastRenderedPageBreak/>
              <w:t xml:space="preserve">generálnemu prokurátorovi SR. Akceptované: Informácia o tom, že Generálna prokuratúra SR vedie zoznam pripravených expertov a zároveň plánuje finančné krytie bola v zostručnenej forme (kvôli vyváženosti dokumentu) zapracovaná do záverečnej kapitoly dokumentu. </w:t>
            </w:r>
          </w:p>
        </w:tc>
      </w:tr>
      <w:tr w:rsidR="00C205F8">
        <w:trPr>
          <w:divId w:val="113148266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b/>
                <w:bCs/>
                <w:sz w:val="25"/>
                <w:szCs w:val="25"/>
              </w:rPr>
            </w:pPr>
            <w:r>
              <w:rPr>
                <w:rFonts w:ascii="Times" w:hAnsi="Times" w:cs="Times"/>
                <w:b/>
                <w:bCs/>
                <w:sz w:val="25"/>
                <w:szCs w:val="25"/>
              </w:rPr>
              <w:lastRenderedPageBreak/>
              <w:t>MFSR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rPr>
                <w:rFonts w:ascii="Times" w:hAnsi="Times" w:cs="Times"/>
                <w:sz w:val="25"/>
                <w:szCs w:val="25"/>
              </w:rPr>
            </w:pPr>
            <w:r>
              <w:rPr>
                <w:rFonts w:ascii="Times" w:hAnsi="Times" w:cs="Times"/>
                <w:sz w:val="25"/>
                <w:szCs w:val="25"/>
              </w:rPr>
              <w:br/>
              <w:t xml:space="preserve">K vlastnému materiálu v časti II.1.4 EUAM Ukrajina odporúčam na konci odseku vypustiť slová "a 2 colníkov Finančnej správy SR".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rPr>
                <w:rFonts w:ascii="Times" w:hAnsi="Times" w:cs="Times"/>
                <w:sz w:val="25"/>
                <w:szCs w:val="25"/>
              </w:rPr>
            </w:pPr>
            <w:r>
              <w:rPr>
                <w:rFonts w:ascii="Times" w:hAnsi="Times" w:cs="Times"/>
                <w:sz w:val="25"/>
                <w:szCs w:val="25"/>
              </w:rPr>
              <w:t>Zapracované</w:t>
            </w:r>
          </w:p>
        </w:tc>
      </w:tr>
      <w:tr w:rsidR="00C205F8">
        <w:trPr>
          <w:divId w:val="113148266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b/>
                <w:bCs/>
                <w:sz w:val="25"/>
                <w:szCs w:val="25"/>
              </w:rPr>
            </w:pPr>
            <w:r>
              <w:rPr>
                <w:rFonts w:ascii="Times" w:hAnsi="Times" w:cs="Times"/>
                <w:b/>
                <w:bCs/>
                <w:sz w:val="25"/>
                <w:szCs w:val="25"/>
              </w:rPr>
              <w:t>MFSR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rPr>
                <w:rFonts w:ascii="Times" w:hAnsi="Times" w:cs="Times"/>
                <w:sz w:val="25"/>
                <w:szCs w:val="25"/>
              </w:rPr>
            </w:pPr>
            <w:r>
              <w:rPr>
                <w:rFonts w:ascii="Times" w:hAnsi="Times" w:cs="Times"/>
                <w:sz w:val="25"/>
                <w:szCs w:val="25"/>
              </w:rPr>
              <w:br/>
              <w:t xml:space="preserve">K vlastnému materiálu v časti II.1.5 EUBAM Moldavsko a Ukrajina odporúčam za prvý odsek vložiť nasledujúci text: "V roku 2018 pôsobili v rámci misie EUBAM dvaja colníci, zástupcovia finančnej správy. Jeden colník začal svoje ročné pôsobenie v misii od 1. decembra 2016. Vzhľadom na jeho pozitívne pôsobenie počas prvého a druhého roka vyslania, požiadala misia EUBAM Finančné riaditeľstvo SR o predĺženie vyslania na obdobie od 1. decembra 2018 do 30. novembra 2019. Finančné riaditeľstvo SR vyjadrilo súhlas s predĺžením jeho vyslania o ďalšie ročné obdobie. Vyslaný colník plní úlohy súvisiace s poskytovaním pomoci moldavským a ukrajinským partnerským službám (colnej správe a pohraničnej stráži) v oblasti colných postupov. V novembri 2017 uspel vo výberovom procese na obsadenie voľnej pozície v rámci misie EUBAM aj ďalší zástupca finančnej správy, ktorý začal svoje pôsobenie v misii od 1. decembra 2017. Jeho vyslanie bolo ukončené dňa 30. novembra 2018. Vyslaný colník plnil úlohy týkajúce sa procesu </w:t>
            </w:r>
            <w:r>
              <w:rPr>
                <w:rFonts w:ascii="Times" w:hAnsi="Times" w:cs="Times"/>
                <w:sz w:val="25"/>
                <w:szCs w:val="25"/>
              </w:rPr>
              <w:lastRenderedPageBreak/>
              <w:t xml:space="preserve">harmonizácie colných kontrol, colných a obchodných štandardov a postupov Moldavska s postupmi a štandardami v EÚ."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rPr>
                <w:rFonts w:ascii="Times" w:hAnsi="Times" w:cs="Times"/>
                <w:sz w:val="25"/>
                <w:szCs w:val="25"/>
              </w:rPr>
            </w:pPr>
            <w:r>
              <w:rPr>
                <w:rFonts w:ascii="Times" w:hAnsi="Times" w:cs="Times"/>
                <w:sz w:val="25"/>
                <w:szCs w:val="25"/>
              </w:rPr>
              <w:t>Zapracované v zostručnenej forme kvôli vyváženosti dokumentu.</w:t>
            </w:r>
          </w:p>
        </w:tc>
      </w:tr>
      <w:tr w:rsidR="00C205F8">
        <w:trPr>
          <w:divId w:val="113148266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b/>
                <w:bCs/>
                <w:sz w:val="25"/>
                <w:szCs w:val="25"/>
              </w:rPr>
            </w:pPr>
            <w:r>
              <w:rPr>
                <w:rFonts w:ascii="Times" w:hAnsi="Times" w:cs="Times"/>
                <w:b/>
                <w:bCs/>
                <w:sz w:val="25"/>
                <w:szCs w:val="25"/>
              </w:rPr>
              <w:t>MOSR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rPr>
                <w:rFonts w:ascii="Times" w:hAnsi="Times" w:cs="Times"/>
                <w:sz w:val="25"/>
                <w:szCs w:val="25"/>
              </w:rPr>
            </w:pPr>
            <w:r>
              <w:rPr>
                <w:rFonts w:ascii="Times" w:hAnsi="Times" w:cs="Times"/>
                <w:sz w:val="25"/>
                <w:szCs w:val="25"/>
              </w:rPr>
              <w:br/>
              <w:t xml:space="preserve">- V časti „Operácie a aktivity NATO“ (str. 7) odporúčame vetu „Hlavným cieľom príspevku OS SR vo vojenskej operácii NTCB-I (Iracká podpora) boli výcvikové aktivity so zámerom poskytnutia asistencie pri budovaní kapacít Irackých bezpečnostných síl (IBS) v požadovaných oblastiach,...“ nahradiť vetou „Hlavným cieľom príspevku OS SR vo výcvikovo poradenskej aktivite NATO v Iraku boli výcvikové aktivity so zámerom poskytnutia asistencie pri budovaní kapacít Irackých bezpečnostných síl (IBS) v požadovaných oblastiach,...“. Používanie pojmu „aktivita“ namiesto pojmu „operácia“ v súvislosti s NTCB-I navrhujeme ujednotiť v celom texte. Odôvodnenie: NTCB-I je výcvikovo poradenskou aktivitou NATO, nie operáciou.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rPr>
                <w:rFonts w:ascii="Times" w:hAnsi="Times" w:cs="Times"/>
                <w:sz w:val="25"/>
                <w:szCs w:val="25"/>
              </w:rPr>
            </w:pPr>
            <w:r>
              <w:rPr>
                <w:rFonts w:ascii="Times" w:hAnsi="Times" w:cs="Times"/>
                <w:sz w:val="25"/>
                <w:szCs w:val="25"/>
              </w:rPr>
              <w:t>Zapracované</w:t>
            </w:r>
          </w:p>
        </w:tc>
      </w:tr>
      <w:tr w:rsidR="00C205F8">
        <w:trPr>
          <w:divId w:val="113148266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b/>
                <w:bCs/>
                <w:sz w:val="25"/>
                <w:szCs w:val="25"/>
              </w:rPr>
            </w:pPr>
            <w:r>
              <w:rPr>
                <w:rFonts w:ascii="Times" w:hAnsi="Times" w:cs="Times"/>
                <w:b/>
                <w:bCs/>
                <w:sz w:val="25"/>
                <w:szCs w:val="25"/>
              </w:rPr>
              <w:t>MOSR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rPr>
                <w:rFonts w:ascii="Times" w:hAnsi="Times" w:cs="Times"/>
                <w:sz w:val="25"/>
                <w:szCs w:val="25"/>
              </w:rPr>
            </w:pPr>
            <w:r>
              <w:rPr>
                <w:rFonts w:ascii="Times" w:hAnsi="Times" w:cs="Times"/>
                <w:sz w:val="25"/>
                <w:szCs w:val="25"/>
              </w:rPr>
              <w:br/>
              <w:t xml:space="preserve">- V časti „Operácie a aktivity NATO“ (str. 8) odporúčame vetu „Vojenská nebojová operácia v Iraku (NMI) je zameraná na výcvik, poradenstvo a asistenciu pri budovaní kapacít irackých bezpečnostných síl.“ nahradiť vetou „Vojenská nebojová misia NATO v Iraku (NMI) je zameraná na výcvik, poradenstvo a asistenciu pri budovaní kapacít irackých bezpečnostných síl.“ Odôvodnenie: Misia NATO v Iraku (NMI) je definovaná ako misia, nie operácia.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rPr>
                <w:rFonts w:ascii="Times" w:hAnsi="Times" w:cs="Times"/>
                <w:sz w:val="25"/>
                <w:szCs w:val="25"/>
              </w:rPr>
            </w:pPr>
            <w:r>
              <w:rPr>
                <w:rFonts w:ascii="Times" w:hAnsi="Times" w:cs="Times"/>
                <w:sz w:val="25"/>
                <w:szCs w:val="25"/>
              </w:rPr>
              <w:t>Zapracované</w:t>
            </w:r>
          </w:p>
        </w:tc>
      </w:tr>
      <w:tr w:rsidR="00C205F8">
        <w:trPr>
          <w:divId w:val="113148266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b/>
                <w:bCs/>
                <w:sz w:val="25"/>
                <w:szCs w:val="25"/>
              </w:rPr>
            </w:pPr>
            <w:r>
              <w:rPr>
                <w:rFonts w:ascii="Times" w:hAnsi="Times" w:cs="Times"/>
                <w:b/>
                <w:bCs/>
                <w:sz w:val="25"/>
                <w:szCs w:val="25"/>
              </w:rPr>
              <w:lastRenderedPageBreak/>
              <w:t>MOSR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rPr>
                <w:rFonts w:ascii="Times" w:hAnsi="Times" w:cs="Times"/>
                <w:sz w:val="25"/>
                <w:szCs w:val="25"/>
              </w:rPr>
            </w:pPr>
            <w:r>
              <w:rPr>
                <w:rFonts w:ascii="Times" w:hAnsi="Times" w:cs="Times"/>
                <w:sz w:val="25"/>
                <w:szCs w:val="25"/>
              </w:rPr>
              <w:br/>
              <w:t xml:space="preserve">- V časti „Účasť SR v misiách ...“ (str. 3) navrhujeme vetu „ SR navýšila svoj vojenský príspevok v Afganistane a zapojila sa do výcvikovo-poradenskej aktivity NATO v Iraku, ktorá bola pretransformovaná na výcvikovú misiu NTM-I v Iraku.“ nahradiť vetou „SR navýšila počty príslušníkov OS SR v rámci schváleného mandátu NR SR v Afganistane svoj vojenský príspevok v Afganistane a zapojila sa do výcvikovo-poradenskej aktivity NATO v Iraku, ktorá bola pretransformovaná na nebojovú výcvikovú misiu NATO v Iraku (NMI).“ Odôvodnenie: spresnenie vety a uvedenie schválených názvov misií. Názov misie, v ktorej SR v súčasnosti pôsobí, je Misia NATO v Iraku (NATO Mission Iraq) a jej oficiálna skratka je „NMI“.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rPr>
                <w:rFonts w:ascii="Times" w:hAnsi="Times" w:cs="Times"/>
                <w:sz w:val="25"/>
                <w:szCs w:val="25"/>
              </w:rPr>
            </w:pPr>
            <w:r>
              <w:rPr>
                <w:rFonts w:ascii="Times" w:hAnsi="Times" w:cs="Times"/>
                <w:sz w:val="25"/>
                <w:szCs w:val="25"/>
              </w:rPr>
              <w:t>Zapracované</w:t>
            </w:r>
          </w:p>
        </w:tc>
      </w:tr>
      <w:tr w:rsidR="00C205F8">
        <w:trPr>
          <w:divId w:val="113148266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b/>
                <w:bCs/>
                <w:sz w:val="25"/>
                <w:szCs w:val="25"/>
              </w:rPr>
            </w:pPr>
            <w:r>
              <w:rPr>
                <w:rFonts w:ascii="Times" w:hAnsi="Times" w:cs="Times"/>
                <w:b/>
                <w:bCs/>
                <w:sz w:val="25"/>
                <w:szCs w:val="25"/>
              </w:rPr>
              <w:t>MOSR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rPr>
                <w:rFonts w:ascii="Times" w:hAnsi="Times" w:cs="Times"/>
                <w:sz w:val="25"/>
                <w:szCs w:val="25"/>
              </w:rPr>
            </w:pPr>
            <w:r>
              <w:rPr>
                <w:rFonts w:ascii="Times" w:hAnsi="Times" w:cs="Times"/>
                <w:sz w:val="25"/>
                <w:szCs w:val="25"/>
              </w:rPr>
              <w:br/>
              <w:t xml:space="preserve">- V časti „Účasť SR v misiách ...“ (str. 3) navrhujeme vetu „Civilný expert MO SR pôsobí v Úrade styčného dôstojníka NATO v Kyjeve“ nahradiť vetou „Civilný expert MO SR pôsobí v Styčnom úrade NATO v Kyjeve.“ Zároveň odporúčame názov styčného úradu upraviť na „Styčný úrad NATO v Kyjeve“ aj v časti „Operácie a aktivity NATO“ (str. 8). Odôvodnenie: uvedenie presného názvu styčného úradu.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rPr>
                <w:rFonts w:ascii="Times" w:hAnsi="Times" w:cs="Times"/>
                <w:sz w:val="25"/>
                <w:szCs w:val="25"/>
              </w:rPr>
            </w:pPr>
            <w:r>
              <w:rPr>
                <w:rFonts w:ascii="Times" w:hAnsi="Times" w:cs="Times"/>
                <w:sz w:val="25"/>
                <w:szCs w:val="25"/>
              </w:rPr>
              <w:t>Zapracované</w:t>
            </w:r>
          </w:p>
        </w:tc>
      </w:tr>
      <w:tr w:rsidR="00C205F8">
        <w:trPr>
          <w:divId w:val="113148266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b/>
                <w:bCs/>
                <w:sz w:val="25"/>
                <w:szCs w:val="25"/>
              </w:rPr>
            </w:pPr>
            <w:r>
              <w:rPr>
                <w:rFonts w:ascii="Times" w:hAnsi="Times" w:cs="Times"/>
                <w:b/>
                <w:bCs/>
                <w:sz w:val="25"/>
                <w:szCs w:val="25"/>
              </w:rPr>
              <w:t>MOSR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rPr>
                <w:rFonts w:ascii="Times" w:hAnsi="Times" w:cs="Times"/>
                <w:sz w:val="25"/>
                <w:szCs w:val="25"/>
              </w:rPr>
            </w:pPr>
            <w:r>
              <w:rPr>
                <w:rFonts w:ascii="Times" w:hAnsi="Times" w:cs="Times"/>
                <w:sz w:val="25"/>
                <w:szCs w:val="25"/>
              </w:rPr>
              <w:br/>
              <w:t xml:space="preserve">- V časti „Účasť SR v misiách ...“ (str. 3) navrhujeme vetu „V roku 2019 plánuje SR navýšiť pôsobenie v Afganistane v rozsahu do 50 príslušníkov OS SR, pokračovať v účasti v Misii NATO v Iraku bez zmien a pokračovať v Predsunutej prítomnosti v Lotyšsku“ nahradiť vetou „V roku 2019 plánuje SR navýšiť svoje </w:t>
            </w:r>
            <w:r>
              <w:rPr>
                <w:rFonts w:ascii="Times" w:hAnsi="Times" w:cs="Times"/>
                <w:sz w:val="25"/>
                <w:szCs w:val="25"/>
              </w:rPr>
              <w:lastRenderedPageBreak/>
              <w:t xml:space="preserve">vojenské pôsobenie v Afganistane v rámci aktuálne platného mandátu NR SR a tiež, pokračovať v účasti v Misii NATO v Iraku. Zároveň bude pokračovať v posilnenej predsunutej prítomnosti (enhanced Forward Presence - eFP) v Poľsku a Pobaltí aj po 1. júli 2019“ Odôvodnenie: spresnenie vety a uvedenie presného názvu a pôsobenia eFP.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rPr>
                <w:rFonts w:ascii="Times" w:hAnsi="Times" w:cs="Times"/>
                <w:sz w:val="25"/>
                <w:szCs w:val="25"/>
              </w:rPr>
            </w:pPr>
            <w:r>
              <w:rPr>
                <w:rFonts w:ascii="Times" w:hAnsi="Times" w:cs="Times"/>
                <w:sz w:val="25"/>
                <w:szCs w:val="25"/>
              </w:rPr>
              <w:t>Zapracované</w:t>
            </w:r>
          </w:p>
        </w:tc>
      </w:tr>
      <w:tr w:rsidR="00C205F8">
        <w:trPr>
          <w:divId w:val="113148266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b/>
                <w:bCs/>
                <w:sz w:val="25"/>
                <w:szCs w:val="25"/>
              </w:rPr>
            </w:pPr>
            <w:r>
              <w:rPr>
                <w:rFonts w:ascii="Times" w:hAnsi="Times" w:cs="Times"/>
                <w:b/>
                <w:bCs/>
                <w:sz w:val="25"/>
                <w:szCs w:val="25"/>
              </w:rPr>
              <w:t>MOSR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rPr>
                <w:rFonts w:ascii="Times" w:hAnsi="Times" w:cs="Times"/>
                <w:sz w:val="25"/>
                <w:szCs w:val="25"/>
              </w:rPr>
            </w:pPr>
            <w:r>
              <w:rPr>
                <w:rFonts w:ascii="Times" w:hAnsi="Times" w:cs="Times"/>
                <w:sz w:val="25"/>
                <w:szCs w:val="25"/>
              </w:rPr>
              <w:br/>
              <w:t xml:space="preserve">- V časti „Účasť SR v misiách ...“ (str. 4) odporúčame vetu „V rámci OSN prevzali OS SR od 1.9.2018 zodpovednosť za celý 4. Sektor mierovej misie UNFICYP na Cypre, pričom počet slovenských príslušníkov v nej sa zvýšil zo 160 na 242 členov.“ nahradiť vetou „V rámci OSN prevzali OS SR od 1.9.2018 zodpovednosť za celý 4. Sektor mierovej misie UNFICYP na Cypre ako vedúca krajina, pričom počet slovenských príslušníkov v nej sa zvýšil zo 159 na 243 členov.“ Rovnako odporúčame počty príslušníkov OS SR upraviť aj na strane 9. Odôvodnenie: spresnenie vety a použitie údajov pochádzajúcich z oficiálnych materiálov GŠ OS SR.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rPr>
                <w:rFonts w:ascii="Times" w:hAnsi="Times" w:cs="Times"/>
                <w:sz w:val="25"/>
                <w:szCs w:val="25"/>
              </w:rPr>
            </w:pPr>
            <w:r>
              <w:rPr>
                <w:rFonts w:ascii="Times" w:hAnsi="Times" w:cs="Times"/>
                <w:sz w:val="25"/>
                <w:szCs w:val="25"/>
              </w:rPr>
              <w:t>Zapracované</w:t>
            </w:r>
          </w:p>
        </w:tc>
      </w:tr>
      <w:tr w:rsidR="00C205F8">
        <w:trPr>
          <w:divId w:val="113148266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b/>
                <w:bCs/>
                <w:sz w:val="25"/>
                <w:szCs w:val="25"/>
              </w:rPr>
            </w:pPr>
            <w:r>
              <w:rPr>
                <w:rFonts w:ascii="Times" w:hAnsi="Times" w:cs="Times"/>
                <w:b/>
                <w:bCs/>
                <w:sz w:val="25"/>
                <w:szCs w:val="25"/>
              </w:rPr>
              <w:t>MOSR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rPr>
                <w:rFonts w:ascii="Times" w:hAnsi="Times" w:cs="Times"/>
                <w:sz w:val="25"/>
                <w:szCs w:val="25"/>
              </w:rPr>
            </w:pPr>
            <w:r>
              <w:rPr>
                <w:rFonts w:ascii="Times" w:hAnsi="Times" w:cs="Times"/>
                <w:sz w:val="25"/>
                <w:szCs w:val="25"/>
              </w:rPr>
              <w:br/>
              <w:t xml:space="preserve">- V časti „Účasť SR v misiách ...“ (str. 4) odporúčame vetu „V súvislosti s cieľom OSN zvýšiť počet žien pracujúcich v OSN pôsobilo v priebehu roku 2018 v misiách OSN celkom 6 policajtiek v misii na Cypre.“ nahradiť vetou „V súvislosti s cieľom OSN zvýšiť počet žien pracujúcich v OSN pôsobilo v priebehu roku 2018 v misiách OSN celkom 20 profesionálnych vojačiek OS SR a 6 príslušníčok Vojenskej polície v misii na </w:t>
            </w:r>
            <w:r>
              <w:rPr>
                <w:rFonts w:ascii="Times" w:hAnsi="Times" w:cs="Times"/>
                <w:sz w:val="25"/>
                <w:szCs w:val="25"/>
              </w:rPr>
              <w:lastRenderedPageBreak/>
              <w:t xml:space="preserve">Cypre.“ Odôvodnenie: uvedenie presného počtu žien pôsobiacich v rámci misií.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rPr>
                <w:rFonts w:ascii="Times" w:hAnsi="Times" w:cs="Times"/>
                <w:sz w:val="25"/>
                <w:szCs w:val="25"/>
              </w:rPr>
            </w:pPr>
            <w:r>
              <w:rPr>
                <w:rFonts w:ascii="Times" w:hAnsi="Times" w:cs="Times"/>
                <w:sz w:val="25"/>
                <w:szCs w:val="25"/>
              </w:rPr>
              <w:t>Zapracované</w:t>
            </w:r>
          </w:p>
        </w:tc>
      </w:tr>
      <w:tr w:rsidR="00C205F8">
        <w:trPr>
          <w:divId w:val="113148266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b/>
                <w:bCs/>
                <w:sz w:val="25"/>
                <w:szCs w:val="25"/>
              </w:rPr>
            </w:pPr>
            <w:r>
              <w:rPr>
                <w:rFonts w:ascii="Times" w:hAnsi="Times" w:cs="Times"/>
                <w:b/>
                <w:bCs/>
                <w:sz w:val="25"/>
                <w:szCs w:val="25"/>
              </w:rPr>
              <w:t>MOSR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rPr>
                <w:rFonts w:ascii="Times" w:hAnsi="Times" w:cs="Times"/>
                <w:sz w:val="25"/>
                <w:szCs w:val="25"/>
              </w:rPr>
            </w:pPr>
            <w:r>
              <w:rPr>
                <w:rFonts w:ascii="Times" w:hAnsi="Times" w:cs="Times"/>
                <w:sz w:val="25"/>
                <w:szCs w:val="25"/>
              </w:rPr>
              <w:br/>
              <w:t xml:space="preserve">V časti „Operácie a aktivity NATO“ (str. 8) odporúčame odstrániť vetu „Dňa 17. decembra 2018 bolo do novovytvorenej operácie vyslaných spolu sedem príslušníkov OS SR, z toho päť do veliteľstva operácie (HQ NMI) a dvaja príslušníci Vojenskej polície v rámci spolupráce s talianskou stranou (ITA – MP).“ Odôvodnenie: siedmi príslušníci OS SR neboli vyslaný v rámci NMI.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rPr>
                <w:rFonts w:ascii="Times" w:hAnsi="Times" w:cs="Times"/>
                <w:sz w:val="25"/>
                <w:szCs w:val="25"/>
              </w:rPr>
            </w:pPr>
            <w:r>
              <w:rPr>
                <w:rFonts w:ascii="Times" w:hAnsi="Times" w:cs="Times"/>
                <w:sz w:val="25"/>
                <w:szCs w:val="25"/>
              </w:rPr>
              <w:t>Zapracované</w:t>
            </w:r>
          </w:p>
        </w:tc>
      </w:tr>
      <w:tr w:rsidR="00C205F8">
        <w:trPr>
          <w:divId w:val="113148266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b/>
                <w:bCs/>
                <w:sz w:val="25"/>
                <w:szCs w:val="25"/>
              </w:rPr>
            </w:pPr>
            <w:r>
              <w:rPr>
                <w:rFonts w:ascii="Times" w:hAnsi="Times" w:cs="Times"/>
                <w:b/>
                <w:bCs/>
                <w:sz w:val="25"/>
                <w:szCs w:val="25"/>
              </w:rPr>
              <w:t>MOSR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rPr>
                <w:rFonts w:ascii="Times" w:hAnsi="Times" w:cs="Times"/>
                <w:sz w:val="25"/>
                <w:szCs w:val="25"/>
              </w:rPr>
            </w:pPr>
            <w:r>
              <w:rPr>
                <w:rFonts w:ascii="Times" w:hAnsi="Times" w:cs="Times"/>
                <w:sz w:val="25"/>
                <w:szCs w:val="25"/>
              </w:rPr>
              <w:br/>
              <w:t xml:space="preserve">V časti „Operácie a aktivity NATO“ (str. 8) odporúčame vetu „Koncom januára 2019 bude ukončené pôsobenie dvoch príslušníkov OS SR v operácii Rozhodná podpora v Afganistane rámci poradného tímu pre vrtuľníky Mi-17 z dôvodu postupného prechodu Afganských bezpečnostných síl na platformy UH-60“ nahradiť vetou „11. februára 2019 bolo ukončené pôsobenie dvoch príslušníkov OS SR ....“ Odôvodnenie: spresnenie časového rámca pôsobenia príslušníkov OS SR v rámci operácie.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rPr>
                <w:rFonts w:ascii="Times" w:hAnsi="Times" w:cs="Times"/>
                <w:sz w:val="25"/>
                <w:szCs w:val="25"/>
              </w:rPr>
            </w:pPr>
            <w:r>
              <w:rPr>
                <w:rFonts w:ascii="Times" w:hAnsi="Times" w:cs="Times"/>
                <w:sz w:val="25"/>
                <w:szCs w:val="25"/>
              </w:rPr>
              <w:t>Zapracované</w:t>
            </w:r>
          </w:p>
        </w:tc>
      </w:tr>
      <w:tr w:rsidR="00C205F8">
        <w:trPr>
          <w:divId w:val="113148266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b/>
                <w:bCs/>
                <w:sz w:val="25"/>
                <w:szCs w:val="25"/>
              </w:rPr>
            </w:pPr>
            <w:r>
              <w:rPr>
                <w:rFonts w:ascii="Times" w:hAnsi="Times" w:cs="Times"/>
                <w:b/>
                <w:bCs/>
                <w:sz w:val="25"/>
                <w:szCs w:val="25"/>
              </w:rPr>
              <w:t>MOSR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rPr>
                <w:rFonts w:ascii="Times" w:hAnsi="Times" w:cs="Times"/>
                <w:sz w:val="25"/>
                <w:szCs w:val="25"/>
              </w:rPr>
            </w:pPr>
            <w:r>
              <w:rPr>
                <w:rFonts w:ascii="Times" w:hAnsi="Times" w:cs="Times"/>
                <w:sz w:val="25"/>
                <w:szCs w:val="25"/>
              </w:rPr>
              <w:br/>
              <w:t xml:space="preserve">V časti „Operácie a aktivity NATO“ (str. 8) odporúčame vetu „V oblasti výcviku a opravy vojenskej techniky bolo vyslaných šesť príslušníkov OS SR vo februári 2018,...“ nahradiť vetou “V oblasti výcviku a opráv sovietskej vojenskej techniky bolo </w:t>
            </w:r>
            <w:r>
              <w:rPr>
                <w:rFonts w:ascii="Times" w:hAnsi="Times" w:cs="Times"/>
                <w:sz w:val="25"/>
                <w:szCs w:val="25"/>
              </w:rPr>
              <w:lastRenderedPageBreak/>
              <w:t xml:space="preserve">vyslaných šesť príslušníkov OS SR vo februári 2018,...“. Odôvodnenie: spresnenie vety.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rPr>
                <w:rFonts w:ascii="Times" w:hAnsi="Times" w:cs="Times"/>
                <w:sz w:val="25"/>
                <w:szCs w:val="25"/>
              </w:rPr>
            </w:pPr>
            <w:r>
              <w:rPr>
                <w:rFonts w:ascii="Times" w:hAnsi="Times" w:cs="Times"/>
                <w:sz w:val="25"/>
                <w:szCs w:val="25"/>
              </w:rPr>
              <w:t>Zapracované</w:t>
            </w:r>
          </w:p>
        </w:tc>
      </w:tr>
      <w:tr w:rsidR="00C205F8">
        <w:trPr>
          <w:divId w:val="113148266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b/>
                <w:bCs/>
                <w:sz w:val="25"/>
                <w:szCs w:val="25"/>
              </w:rPr>
            </w:pPr>
            <w:r>
              <w:rPr>
                <w:rFonts w:ascii="Times" w:hAnsi="Times" w:cs="Times"/>
                <w:b/>
                <w:bCs/>
                <w:sz w:val="25"/>
                <w:szCs w:val="25"/>
              </w:rPr>
              <w:t>MOSR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rPr>
                <w:rFonts w:ascii="Times" w:hAnsi="Times" w:cs="Times"/>
                <w:sz w:val="25"/>
                <w:szCs w:val="25"/>
              </w:rPr>
            </w:pPr>
            <w:r>
              <w:rPr>
                <w:rFonts w:ascii="Times" w:hAnsi="Times" w:cs="Times"/>
                <w:sz w:val="25"/>
                <w:szCs w:val="25"/>
              </w:rPr>
              <w:br/>
              <w:t xml:space="preserve">V časti „Operácie a aktivity NATO“ (str. 9) odporúčame vetu „OS SR budú pokračovať v účasti v Misii NATO v Iraku bez zmien t. j. päť príslušníkov v rámci HQ NMI Bagdad a dvaja príslušníci Vojenskej polície v rámci spolupráce s Talianskom“ nahradiť vetou „OS SR budú pokračovať v účasti v Misii NATO v Iraku na základe schváleného mandátu NR SR.“ Odôvodnenie: siedmi príslušníci OS SR v Iraku nepôsobia v rámci NMI.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rPr>
                <w:rFonts w:ascii="Times" w:hAnsi="Times" w:cs="Times"/>
                <w:sz w:val="25"/>
                <w:szCs w:val="25"/>
              </w:rPr>
            </w:pPr>
            <w:r>
              <w:rPr>
                <w:rFonts w:ascii="Times" w:hAnsi="Times" w:cs="Times"/>
                <w:sz w:val="25"/>
                <w:szCs w:val="25"/>
              </w:rPr>
              <w:t>Zapracované</w:t>
            </w:r>
          </w:p>
        </w:tc>
      </w:tr>
      <w:tr w:rsidR="00C205F8">
        <w:trPr>
          <w:divId w:val="113148266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b/>
                <w:bCs/>
                <w:sz w:val="25"/>
                <w:szCs w:val="25"/>
              </w:rPr>
            </w:pPr>
            <w:r>
              <w:rPr>
                <w:rFonts w:ascii="Times" w:hAnsi="Times" w:cs="Times"/>
                <w:b/>
                <w:bCs/>
                <w:sz w:val="25"/>
                <w:szCs w:val="25"/>
              </w:rPr>
              <w:t>MSSR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rPr>
                <w:rFonts w:ascii="Times" w:hAnsi="Times" w:cs="Times"/>
                <w:sz w:val="25"/>
                <w:szCs w:val="25"/>
              </w:rPr>
            </w:pPr>
            <w:r>
              <w:rPr>
                <w:rFonts w:ascii="Times" w:hAnsi="Times" w:cs="Times"/>
                <w:sz w:val="25"/>
                <w:szCs w:val="25"/>
              </w:rPr>
              <w:br/>
              <w:t>K predkladacej správe. V treťom odseku predkladacej správy odporúčam doplniť, že predkladaný materiál je v súlade aj s ústavnými zákonmi.</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rPr>
                <w:rFonts w:ascii="Times" w:hAnsi="Times" w:cs="Times"/>
                <w:sz w:val="25"/>
                <w:szCs w:val="25"/>
              </w:rPr>
            </w:pPr>
            <w:r>
              <w:rPr>
                <w:rFonts w:ascii="Times" w:hAnsi="Times" w:cs="Times"/>
                <w:sz w:val="25"/>
                <w:szCs w:val="25"/>
              </w:rPr>
              <w:t>Zapracované</w:t>
            </w:r>
          </w:p>
        </w:tc>
      </w:tr>
      <w:tr w:rsidR="00C205F8">
        <w:trPr>
          <w:divId w:val="113148266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b/>
                <w:bCs/>
                <w:sz w:val="25"/>
                <w:szCs w:val="25"/>
              </w:rPr>
            </w:pPr>
            <w:r>
              <w:rPr>
                <w:rFonts w:ascii="Times" w:hAnsi="Times" w:cs="Times"/>
                <w:b/>
                <w:bCs/>
                <w:sz w:val="25"/>
                <w:szCs w:val="25"/>
              </w:rPr>
              <w:t>NBS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rPr>
                <w:rFonts w:ascii="Times" w:hAnsi="Times" w:cs="Times"/>
                <w:sz w:val="25"/>
                <w:szCs w:val="25"/>
              </w:rPr>
            </w:pP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205F8" w:rsidRDefault="00C205F8">
            <w:pPr>
              <w:rPr>
                <w:rFonts w:ascii="Times" w:hAnsi="Times" w:cs="Times"/>
                <w:sz w:val="25"/>
                <w:szCs w:val="25"/>
              </w:rPr>
            </w:pPr>
            <w:r>
              <w:rPr>
                <w:rFonts w:ascii="Times" w:hAnsi="Times" w:cs="Times"/>
                <w:sz w:val="25"/>
                <w:szCs w:val="25"/>
              </w:rPr>
              <w:t>Akceptované</w:t>
            </w:r>
          </w:p>
        </w:tc>
      </w:tr>
    </w:tbl>
    <w:p w:rsidR="00154A91" w:rsidRPr="00154A91" w:rsidRDefault="00154A91" w:rsidP="00CE47A6"/>
    <w:p w:rsidR="00154A91" w:rsidRPr="00024402" w:rsidRDefault="00154A91" w:rsidP="00CE47A6"/>
    <w:sectPr w:rsidR="00154A91" w:rsidRPr="00024402" w:rsidSect="004075B2">
      <w:pgSz w:w="15840" w:h="12240" w:orient="landscape"/>
      <w:pgMar w:top="1417" w:right="1417"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3206" w:rsidRDefault="005E3206" w:rsidP="000A67D5">
      <w:pPr>
        <w:spacing w:after="0" w:line="240" w:lineRule="auto"/>
      </w:pPr>
      <w:r>
        <w:separator/>
      </w:r>
    </w:p>
  </w:endnote>
  <w:endnote w:type="continuationSeparator" w:id="0">
    <w:p w:rsidR="005E3206" w:rsidRDefault="005E3206" w:rsidP="000A67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3206" w:rsidRDefault="005E3206" w:rsidP="000A67D5">
      <w:pPr>
        <w:spacing w:after="0" w:line="240" w:lineRule="auto"/>
      </w:pPr>
      <w:r>
        <w:separator/>
      </w:r>
    </w:p>
  </w:footnote>
  <w:footnote w:type="continuationSeparator" w:id="0">
    <w:p w:rsidR="005E3206" w:rsidRDefault="005E3206" w:rsidP="000A67D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removePersonalInformation/>
  <w:removeDateAndTime/>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844"/>
    <w:rsid w:val="000032C8"/>
    <w:rsid w:val="00024402"/>
    <w:rsid w:val="000324A3"/>
    <w:rsid w:val="0006543E"/>
    <w:rsid w:val="000A67D5"/>
    <w:rsid w:val="000E25CA"/>
    <w:rsid w:val="000F7A42"/>
    <w:rsid w:val="00146547"/>
    <w:rsid w:val="00146B48"/>
    <w:rsid w:val="00150388"/>
    <w:rsid w:val="00154A91"/>
    <w:rsid w:val="002109B0"/>
    <w:rsid w:val="0021228E"/>
    <w:rsid w:val="00230F3C"/>
    <w:rsid w:val="002654AA"/>
    <w:rsid w:val="002827B4"/>
    <w:rsid w:val="002A5577"/>
    <w:rsid w:val="002D7471"/>
    <w:rsid w:val="00310A55"/>
    <w:rsid w:val="00322014"/>
    <w:rsid w:val="0039526D"/>
    <w:rsid w:val="003B435B"/>
    <w:rsid w:val="003D101C"/>
    <w:rsid w:val="003D5E45"/>
    <w:rsid w:val="003E4226"/>
    <w:rsid w:val="004075B2"/>
    <w:rsid w:val="00436C44"/>
    <w:rsid w:val="00474A9D"/>
    <w:rsid w:val="00532574"/>
    <w:rsid w:val="0059081C"/>
    <w:rsid w:val="005E3206"/>
    <w:rsid w:val="005E7C53"/>
    <w:rsid w:val="00642FB8"/>
    <w:rsid w:val="006A3681"/>
    <w:rsid w:val="007156F5"/>
    <w:rsid w:val="007A1010"/>
    <w:rsid w:val="007B7F1A"/>
    <w:rsid w:val="007D7AE6"/>
    <w:rsid w:val="007E4294"/>
    <w:rsid w:val="00841FA6"/>
    <w:rsid w:val="008A1964"/>
    <w:rsid w:val="008E2844"/>
    <w:rsid w:val="0090100E"/>
    <w:rsid w:val="009239D9"/>
    <w:rsid w:val="00927118"/>
    <w:rsid w:val="00943EB2"/>
    <w:rsid w:val="0099665B"/>
    <w:rsid w:val="009C6C5C"/>
    <w:rsid w:val="009F7218"/>
    <w:rsid w:val="00A251BF"/>
    <w:rsid w:val="00A54A16"/>
    <w:rsid w:val="00B721A5"/>
    <w:rsid w:val="00B76589"/>
    <w:rsid w:val="00B8767E"/>
    <w:rsid w:val="00BA469A"/>
    <w:rsid w:val="00BD1FAB"/>
    <w:rsid w:val="00BE7302"/>
    <w:rsid w:val="00BF7CE0"/>
    <w:rsid w:val="00C205F8"/>
    <w:rsid w:val="00CA44D2"/>
    <w:rsid w:val="00CE47A6"/>
    <w:rsid w:val="00CF3D59"/>
    <w:rsid w:val="00D261C9"/>
    <w:rsid w:val="00D85172"/>
    <w:rsid w:val="00D969AC"/>
    <w:rsid w:val="00DF7085"/>
    <w:rsid w:val="00E85710"/>
    <w:rsid w:val="00EB772A"/>
    <w:rsid w:val="00EF1425"/>
    <w:rsid w:val="00F26A4A"/>
    <w:rsid w:val="00F727F0"/>
    <w:rsid w:val="00F856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532574"/>
    <w:rPr>
      <w:lang w:val="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3D5E45"/>
    <w:rPr>
      <w:color w:val="808080"/>
    </w:rPr>
  </w:style>
  <w:style w:type="paragraph" w:styleId="Textbubliny">
    <w:name w:val="Balloon Text"/>
    <w:basedOn w:val="Normlny"/>
    <w:link w:val="TextbublinyChar"/>
    <w:uiPriority w:val="99"/>
    <w:semiHidden/>
    <w:unhideWhenUsed/>
    <w:rsid w:val="003D5E4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3D5E45"/>
    <w:rPr>
      <w:rFonts w:ascii="Tahoma" w:hAnsi="Tahoma" w:cs="Tahoma"/>
      <w:sz w:val="16"/>
      <w:szCs w:val="16"/>
    </w:rPr>
  </w:style>
  <w:style w:type="paragraph" w:styleId="Hlavika">
    <w:name w:val="header"/>
    <w:basedOn w:val="Normlny"/>
    <w:link w:val="HlavikaChar"/>
    <w:uiPriority w:val="99"/>
    <w:unhideWhenUsed/>
    <w:rsid w:val="000A67D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A67D5"/>
  </w:style>
  <w:style w:type="paragraph" w:styleId="Pta">
    <w:name w:val="footer"/>
    <w:basedOn w:val="Normlny"/>
    <w:link w:val="PtaChar"/>
    <w:uiPriority w:val="99"/>
    <w:unhideWhenUsed/>
    <w:rsid w:val="000A67D5"/>
    <w:pPr>
      <w:tabs>
        <w:tab w:val="center" w:pos="4536"/>
        <w:tab w:val="right" w:pos="9072"/>
      </w:tabs>
      <w:spacing w:after="0" w:line="240" w:lineRule="auto"/>
    </w:pPr>
  </w:style>
  <w:style w:type="character" w:customStyle="1" w:styleId="PtaChar">
    <w:name w:val="Päta Char"/>
    <w:basedOn w:val="Predvolenpsmoodseku"/>
    <w:link w:val="Pta"/>
    <w:uiPriority w:val="99"/>
    <w:rsid w:val="000A67D5"/>
  </w:style>
  <w:style w:type="character" w:styleId="Odkaznakomentr">
    <w:name w:val="annotation reference"/>
    <w:basedOn w:val="Predvolenpsmoodseku"/>
    <w:uiPriority w:val="99"/>
    <w:semiHidden/>
    <w:unhideWhenUsed/>
    <w:rsid w:val="00927118"/>
    <w:rPr>
      <w:sz w:val="16"/>
      <w:szCs w:val="16"/>
    </w:rPr>
  </w:style>
  <w:style w:type="paragraph" w:styleId="Textkomentra">
    <w:name w:val="annotation text"/>
    <w:basedOn w:val="Normlny"/>
    <w:link w:val="TextkomentraChar"/>
    <w:uiPriority w:val="99"/>
    <w:semiHidden/>
    <w:unhideWhenUsed/>
    <w:rsid w:val="00927118"/>
    <w:pPr>
      <w:widowControl w:val="0"/>
      <w:adjustRightInd w:val="0"/>
      <w:spacing w:line="240" w:lineRule="auto"/>
    </w:pPr>
    <w:rPr>
      <w:rFonts w:ascii="Calibri" w:eastAsia="Times New Roman" w:hAnsi="Calibri" w:cs="Times New Roman"/>
      <w:sz w:val="20"/>
      <w:szCs w:val="20"/>
    </w:rPr>
  </w:style>
  <w:style w:type="character" w:customStyle="1" w:styleId="TextkomentraChar">
    <w:name w:val="Text komentára Char"/>
    <w:basedOn w:val="Predvolenpsmoodseku"/>
    <w:link w:val="Textkomentra"/>
    <w:uiPriority w:val="99"/>
    <w:semiHidden/>
    <w:rsid w:val="00927118"/>
    <w:rPr>
      <w:rFonts w:ascii="Calibri" w:eastAsia="Times New Roman" w:hAnsi="Calibri" w:cs="Times New Roman"/>
      <w:sz w:val="20"/>
      <w:szCs w:val="20"/>
    </w:rPr>
  </w:style>
  <w:style w:type="paragraph" w:styleId="Zkladntext">
    <w:name w:val="Body Text"/>
    <w:basedOn w:val="Normlny"/>
    <w:link w:val="ZkladntextChar"/>
    <w:uiPriority w:val="99"/>
    <w:semiHidden/>
    <w:rsid w:val="00BF7CE0"/>
    <w:pPr>
      <w:widowControl w:val="0"/>
      <w:adjustRightInd w:val="0"/>
      <w:spacing w:after="0" w:line="240" w:lineRule="auto"/>
      <w:jc w:val="center"/>
    </w:pPr>
    <w:rPr>
      <w:rFonts w:ascii="Times New Roman" w:eastAsia="Times New Roman" w:hAnsi="Times New Roman" w:cs="Times New Roman"/>
      <w:b/>
      <w:bCs/>
      <w:sz w:val="28"/>
      <w:szCs w:val="28"/>
      <w:lang w:eastAsia="sk-SK"/>
    </w:rPr>
  </w:style>
  <w:style w:type="character" w:customStyle="1" w:styleId="ZkladntextChar">
    <w:name w:val="Základný text Char"/>
    <w:basedOn w:val="Predvolenpsmoodseku"/>
    <w:link w:val="Zkladntext"/>
    <w:uiPriority w:val="99"/>
    <w:semiHidden/>
    <w:rsid w:val="00BF7CE0"/>
    <w:rPr>
      <w:rFonts w:ascii="Times New Roman" w:eastAsia="Times New Roman" w:hAnsi="Times New Roman" w:cs="Times New Roman"/>
      <w:b/>
      <w:bCs/>
      <w:sz w:val="28"/>
      <w:szCs w:val="28"/>
      <w:lang w:val="sk-SK"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52239">
      <w:bodyDiv w:val="1"/>
      <w:marLeft w:val="0"/>
      <w:marRight w:val="0"/>
      <w:marTop w:val="0"/>
      <w:marBottom w:val="0"/>
      <w:divBdr>
        <w:top w:val="none" w:sz="0" w:space="0" w:color="auto"/>
        <w:left w:val="none" w:sz="0" w:space="0" w:color="auto"/>
        <w:bottom w:val="none" w:sz="0" w:space="0" w:color="auto"/>
        <w:right w:val="none" w:sz="0" w:space="0" w:color="auto"/>
      </w:divBdr>
    </w:div>
    <w:div w:id="427390115">
      <w:bodyDiv w:val="1"/>
      <w:marLeft w:val="0"/>
      <w:marRight w:val="0"/>
      <w:marTop w:val="0"/>
      <w:marBottom w:val="0"/>
      <w:divBdr>
        <w:top w:val="none" w:sz="0" w:space="0" w:color="auto"/>
        <w:left w:val="none" w:sz="0" w:space="0" w:color="auto"/>
        <w:bottom w:val="none" w:sz="0" w:space="0" w:color="auto"/>
        <w:right w:val="none" w:sz="0" w:space="0" w:color="auto"/>
      </w:divBdr>
    </w:div>
    <w:div w:id="471560187">
      <w:bodyDiv w:val="1"/>
      <w:marLeft w:val="0"/>
      <w:marRight w:val="0"/>
      <w:marTop w:val="0"/>
      <w:marBottom w:val="0"/>
      <w:divBdr>
        <w:top w:val="none" w:sz="0" w:space="0" w:color="auto"/>
        <w:left w:val="none" w:sz="0" w:space="0" w:color="auto"/>
        <w:bottom w:val="none" w:sz="0" w:space="0" w:color="auto"/>
        <w:right w:val="none" w:sz="0" w:space="0" w:color="auto"/>
      </w:divBdr>
    </w:div>
    <w:div w:id="484512558">
      <w:bodyDiv w:val="1"/>
      <w:marLeft w:val="0"/>
      <w:marRight w:val="0"/>
      <w:marTop w:val="0"/>
      <w:marBottom w:val="0"/>
      <w:divBdr>
        <w:top w:val="none" w:sz="0" w:space="0" w:color="auto"/>
        <w:left w:val="none" w:sz="0" w:space="0" w:color="auto"/>
        <w:bottom w:val="none" w:sz="0" w:space="0" w:color="auto"/>
        <w:right w:val="none" w:sz="0" w:space="0" w:color="auto"/>
      </w:divBdr>
    </w:div>
    <w:div w:id="1085570679">
      <w:bodyDiv w:val="1"/>
      <w:marLeft w:val="0"/>
      <w:marRight w:val="0"/>
      <w:marTop w:val="0"/>
      <w:marBottom w:val="0"/>
      <w:divBdr>
        <w:top w:val="none" w:sz="0" w:space="0" w:color="auto"/>
        <w:left w:val="none" w:sz="0" w:space="0" w:color="auto"/>
        <w:bottom w:val="none" w:sz="0" w:space="0" w:color="auto"/>
        <w:right w:val="none" w:sz="0" w:space="0" w:color="auto"/>
      </w:divBdr>
    </w:div>
    <w:div w:id="1131482661">
      <w:bodyDiv w:val="1"/>
      <w:marLeft w:val="0"/>
      <w:marRight w:val="0"/>
      <w:marTop w:val="0"/>
      <w:marBottom w:val="0"/>
      <w:divBdr>
        <w:top w:val="none" w:sz="0" w:space="0" w:color="auto"/>
        <w:left w:val="none" w:sz="0" w:space="0" w:color="auto"/>
        <w:bottom w:val="none" w:sz="0" w:space="0" w:color="auto"/>
        <w:right w:val="none" w:sz="0" w:space="0" w:color="auto"/>
      </w:divBdr>
    </w:div>
    <w:div w:id="1488935341">
      <w:bodyDiv w:val="1"/>
      <w:marLeft w:val="0"/>
      <w:marRight w:val="0"/>
      <w:marTop w:val="0"/>
      <w:marBottom w:val="0"/>
      <w:divBdr>
        <w:top w:val="none" w:sz="0" w:space="0" w:color="auto"/>
        <w:left w:val="none" w:sz="0" w:space="0" w:color="auto"/>
        <w:bottom w:val="none" w:sz="0" w:space="0" w:color="auto"/>
        <w:right w:val="none" w:sz="0" w:space="0" w:color="auto"/>
      </w:divBdr>
    </w:div>
    <w:div w:id="2132019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12" Type="http://schemas.openxmlformats.org/officeDocument/2006/relationships/customXml" Target="../customXml/item5.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4.xml"/><Relationship Id="rId5" Type="http://schemas.openxmlformats.org/officeDocument/2006/relationships/footnotes" Target="footnotes.xm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f:fields xmlns:f="http://schemas.fabasoft.com/folio/2007/fields">
  <f:record ref="">
    <f:field ref="objname" par="" edit="true" text="Vyhodnotenie medzirezortného pripomienkového konania"/>
    <f:field ref="objsubject" par="" edit="true" text="Vyhodnotenie medzirezortného pripomienkového konania"/>
    <f:field ref="objcreatedby" par="" text="Administrator, System"/>
    <f:field ref="objcreatedat" par="" text="21.2.2019 13:58:54"/>
    <f:field ref="objchangedby" par="" text="Administrator, System"/>
    <f:field ref="objmodifiedat" par="" text="21.2.2019 13:59:00"/>
    <f:field ref="doc_FSCFOLIO_1_1001_FieldDocumentNumber" par="" text=""/>
    <f:field ref="doc_FSCFOLIO_1_1001_FieldSubject" par="" edit="true" text="Vyhodnotenie medzirezortného pripomienkového konania"/>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https://ovdmasv601/sites/DMS/_layouts/15/DocIdRedir.aspx?ID=WKX3UHSAJ2R6-2-895532</Url>
      <Description>WKX3UHSAJ2R6-2-895532</Description>
    </_dlc_DocIdUrl>
    <_dlc_DocId xmlns="e60a29af-d413-48d4-bd90-fe9d2a897e4b">WKX3UHSAJ2R6-2-895532</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1AA9500B-413A-4B3D-93EE-FC73F1D86D5C}"/>
</file>

<file path=customXml/itemProps3.xml><?xml version="1.0" encoding="utf-8"?>
<ds:datastoreItem xmlns:ds="http://schemas.openxmlformats.org/officeDocument/2006/customXml" ds:itemID="{CF946344-DAEF-4368-805E-F0D71D39A255}"/>
</file>

<file path=customXml/itemProps4.xml><?xml version="1.0" encoding="utf-8"?>
<ds:datastoreItem xmlns:ds="http://schemas.openxmlformats.org/officeDocument/2006/customXml" ds:itemID="{64EF1C33-EDA8-4E43-A9BF-F01684FF7DF1}"/>
</file>

<file path=customXml/itemProps5.xml><?xml version="1.0" encoding="utf-8"?>
<ds:datastoreItem xmlns:ds="http://schemas.openxmlformats.org/officeDocument/2006/customXml" ds:itemID="{3EF971DC-ED7C-4204-8A23-EB1DDAC5AD2C}"/>
</file>

<file path=docProps/app.xml><?xml version="1.0" encoding="utf-8"?>
<Properties xmlns="http://schemas.openxmlformats.org/officeDocument/2006/extended-properties" xmlns:vt="http://schemas.openxmlformats.org/officeDocument/2006/docPropsVTypes">
  <Template>Normal</Template>
  <TotalTime>0</TotalTime>
  <Pages>12</Pages>
  <Words>2336</Words>
  <Characters>13319</Characters>
  <Application>Microsoft Office Word</Application>
  <DocSecurity>0</DocSecurity>
  <Lines>110</Lines>
  <Paragraphs>31</Paragraphs>
  <ScaleCrop>false</ScaleCrop>
  <Company/>
  <LinksUpToDate>false</LinksUpToDate>
  <CharactersWithSpaces>15624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2019-02-21T12:59:00Z</dcterms:created>
  <dcterms:modified xsi:type="dcterms:W3CDTF">2019-02-21T12:59:00Z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Nelegislatívny všeobecný materiál</vt:lpwstr>
  </property>
  <property fmtid="{D5CDD505-2E9C-101B-9397-08002B2CF9AE}" pid="4" name="FSC#SKEDITIONSLOVLEX@103.510:cisloparlamenttlac">
    <vt:lpwstr/>
  </property>
  <property fmtid="{D5CDD505-2E9C-101B-9397-08002B2CF9AE}" pid="5" name="FSC#SKEDITIONSLOVLEX@103.510:stavpredpis">
    <vt:lpwstr>Vyhodnotenie medzirezortného pripomienkového konania</vt:lpwstr>
  </property>
  <property fmtid="{D5CDD505-2E9C-101B-9397-08002B2CF9AE}" pid="6" name="FSC#SKEDITIONSLOVLEX@103.510:povodpredpis">
    <vt:lpwstr>Slovlex (eLeg)</vt:lpwstr>
  </property>
  <property fmtid="{D5CDD505-2E9C-101B-9397-08002B2CF9AE}" pid="7" name="FSC#SKEDITIONSLOVLEX@103.510:legoblast">
    <vt:lpwstr>Nelegislatívna oblasť</vt:lpwstr>
  </property>
  <property fmtid="{D5CDD505-2E9C-101B-9397-08002B2CF9AE}" pid="8" name="FSC#SKEDITIONSLOVLEX@103.510:uzemplat">
    <vt:lpwstr/>
  </property>
  <property fmtid="{D5CDD505-2E9C-101B-9397-08002B2CF9AE}" pid="9" name="FSC#SKEDITIONSLOVLEX@103.510:vztahypredpis">
    <vt:lpwstr/>
  </property>
  <property fmtid="{D5CDD505-2E9C-101B-9397-08002B2CF9AE}" pid="10" name="FSC#SKEDITIONSLOVLEX@103.510:predkladatel">
    <vt:lpwstr>Ing. Ivan Vaňo</vt:lpwstr>
  </property>
  <property fmtid="{D5CDD505-2E9C-101B-9397-08002B2CF9AE}" pid="11" name="FSC#SKEDITIONSLOVLEX@103.510:zodppredkladatel">
    <vt:lpwstr>Miroslav Lajčák</vt:lpwstr>
  </property>
  <property fmtid="{D5CDD505-2E9C-101B-9397-08002B2CF9AE}" pid="12" name="FSC#SKEDITIONSLOVLEX@103.510:dalsipredkladatel">
    <vt:lpwstr/>
  </property>
  <property fmtid="{D5CDD505-2E9C-101B-9397-08002B2CF9AE}" pid="13" name="FSC#SKEDITIONSLOVLEX@103.510:nazovpredpis">
    <vt:lpwstr> Správa o pôsobení Slovenskej republiky v aktivitách medzinárodného krízového manažmentu za rok 2018</vt:lpwstr>
  </property>
  <property fmtid="{D5CDD505-2E9C-101B-9397-08002B2CF9AE}" pid="14" name="FSC#SKEDITIONSLOVLEX@103.510:nazovpredpis1">
    <vt:lpwstr/>
  </property>
  <property fmtid="{D5CDD505-2E9C-101B-9397-08002B2CF9AE}" pid="15" name="FSC#SKEDITIONSLOVLEX@103.510:nazovpredpis2">
    <vt:lpwstr/>
  </property>
  <property fmtid="{D5CDD505-2E9C-101B-9397-08002B2CF9AE}" pid="16" name="FSC#SKEDITIONSLOVLEX@103.510:nazovpredpis3">
    <vt:lpwstr/>
  </property>
  <property fmtid="{D5CDD505-2E9C-101B-9397-08002B2CF9AE}" pid="17" name="FSC#SKEDITIONSLOVLEX@103.510:cislopredpis">
    <vt:lpwstr/>
  </property>
  <property fmtid="{D5CDD505-2E9C-101B-9397-08002B2CF9AE}" pid="18" name="FSC#SKEDITIONSLOVLEX@103.510:zodpinstitucia">
    <vt:lpwstr>Ministerstvo zahraničných vecí a európskych záležitostí Slovenskej republiky</vt:lpwstr>
  </property>
  <property fmtid="{D5CDD505-2E9C-101B-9397-08002B2CF9AE}" pid="19" name="FSC#SKEDITIONSLOVLEX@103.510:pripomienkovatelia">
    <vt:lpwstr/>
  </property>
  <property fmtid="{D5CDD505-2E9C-101B-9397-08002B2CF9AE}" pid="20" name="FSC#SKEDITIONSLOVLEX@103.510:autorpredpis">
    <vt:lpwstr/>
  </property>
  <property fmtid="{D5CDD505-2E9C-101B-9397-08002B2CF9AE}" pid="21" name="FSC#SKEDITIONSLOVLEX@103.510:podnetpredpis">
    <vt:lpwstr>na základe úlohy z uznesenia vlády SR č. 539/2012 z 10. októbra 2012 _x000d_
</vt:lpwstr>
  </property>
  <property fmtid="{D5CDD505-2E9C-101B-9397-08002B2CF9AE}" pid="22" name="FSC#SKEDITIONSLOVLEX@103.510:plnynazovpredpis">
    <vt:lpwstr> Správa o pôsobení Slovenskej republiky v aktivitách medzinárodného krízového manažmentu za rok 2018</vt:lpwstr>
  </property>
  <property fmtid="{D5CDD505-2E9C-101B-9397-08002B2CF9AE}" pid="23" name="FSC#SKEDITIONSLOVLEX@103.510:plnynazovpredpis1">
    <vt:lpwstr/>
  </property>
  <property fmtid="{D5CDD505-2E9C-101B-9397-08002B2CF9AE}" pid="24" name="FSC#SKEDITIONSLOVLEX@103.510:plnynazovpredpis2">
    <vt:lpwstr/>
  </property>
  <property fmtid="{D5CDD505-2E9C-101B-9397-08002B2CF9AE}" pid="25" name="FSC#SKEDITIONSLOVLEX@103.510:plnynazovpredpis3">
    <vt:lpwstr/>
  </property>
  <property fmtid="{D5CDD505-2E9C-101B-9397-08002B2CF9AE}" pid="26" name="FSC#SKEDITIONSLOVLEX@103.510:rezortcislopredpis">
    <vt:lpwstr>032396/2019-OBEP-0021062</vt:lpwstr>
  </property>
  <property fmtid="{D5CDD505-2E9C-101B-9397-08002B2CF9AE}" pid="27" name="FSC#SKEDITIONSLOVLEX@103.510:citaciapredpis">
    <vt:lpwstr/>
  </property>
  <property fmtid="{D5CDD505-2E9C-101B-9397-08002B2CF9AE}" pid="28" name="FSC#SKEDITIONSLOVLEX@103.510:spiscislouv">
    <vt:lpwstr/>
  </property>
  <property fmtid="{D5CDD505-2E9C-101B-9397-08002B2CF9AE}" pid="29" name="FSC#SKEDITIONSLOVLEX@103.510:datumschvalpredpis">
    <vt:lpwstr/>
  </property>
  <property fmtid="{D5CDD505-2E9C-101B-9397-08002B2CF9AE}" pid="30" name="FSC#SKEDITIONSLOVLEX@103.510:platneod">
    <vt:lpwstr/>
  </property>
  <property fmtid="{D5CDD505-2E9C-101B-9397-08002B2CF9AE}" pid="31" name="FSC#SKEDITIONSLOVLEX@103.510:platnedo">
    <vt:lpwstr/>
  </property>
  <property fmtid="{D5CDD505-2E9C-101B-9397-08002B2CF9AE}" pid="32" name="FSC#SKEDITIONSLOVLEX@103.510:ucinnostod">
    <vt:lpwstr/>
  </property>
  <property fmtid="{D5CDD505-2E9C-101B-9397-08002B2CF9AE}" pid="33" name="FSC#SKEDITIONSLOVLEX@103.510:ucinnostdo">
    <vt:lpwstr/>
  </property>
  <property fmtid="{D5CDD505-2E9C-101B-9397-08002B2CF9AE}" pid="34" name="FSC#SKEDITIONSLOVLEX@103.510:datumplatnosti">
    <vt:lpwstr/>
  </property>
  <property fmtid="{D5CDD505-2E9C-101B-9397-08002B2CF9AE}" pid="35" name="FSC#SKEDITIONSLOVLEX@103.510:cislolp">
    <vt:lpwstr>LP/2019/97</vt:lpwstr>
  </property>
  <property fmtid="{D5CDD505-2E9C-101B-9397-08002B2CF9AE}" pid="36" name="FSC#SKEDITIONSLOVLEX@103.510:typsprievdok">
    <vt:lpwstr>Vyhodnotenie medzirezortného pripomienkového konania</vt:lpwstr>
  </property>
  <property fmtid="{D5CDD505-2E9C-101B-9397-08002B2CF9AE}" pid="37" name="FSC#SKEDITIONSLOVLEX@103.510:cislopartlac">
    <vt:lpwstr/>
  </property>
  <property fmtid="{D5CDD505-2E9C-101B-9397-08002B2CF9AE}" pid="38" name="FSC#SKEDITIONSLOVLEX@103.510:AttrStrListDocPropUcelPredmetZmluvy">
    <vt:lpwstr/>
  </property>
  <property fmtid="{D5CDD505-2E9C-101B-9397-08002B2CF9AE}" pid="39" name="FSC#SKEDITIONSLOVLEX@103.510:AttrStrListDocPropUpravaPravFOPRO">
    <vt:lpwstr/>
  </property>
  <property fmtid="{D5CDD505-2E9C-101B-9397-08002B2CF9AE}" pid="40" name="FSC#SKEDITIONSLOVLEX@103.510:AttrStrListDocPropUpravaPredmetuZmluvy">
    <vt:lpwstr/>
  </property>
  <property fmtid="{D5CDD505-2E9C-101B-9397-08002B2CF9AE}" pid="41" name="FSC#SKEDITIONSLOVLEX@103.510:AttrStrListDocPropKategoriaZmluvy74">
    <vt:lpwstr/>
  </property>
  <property fmtid="{D5CDD505-2E9C-101B-9397-08002B2CF9AE}" pid="42" name="FSC#SKEDITIONSLOVLEX@103.510:AttrStrListDocPropKategoriaZmluvy75">
    <vt:lpwstr/>
  </property>
  <property fmtid="{D5CDD505-2E9C-101B-9397-08002B2CF9AE}" pid="43" name="FSC#SKEDITIONSLOVLEX@103.510:AttrStrListDocPropDopadyPrijatiaZmluvy">
    <vt:lpwstr/>
  </property>
  <property fmtid="{D5CDD505-2E9C-101B-9397-08002B2CF9AE}" pid="44" name="FSC#SKEDITIONSLOVLEX@103.510:AttrStrListDocPropProblematikaPPa">
    <vt:lpwstr/>
  </property>
  <property fmtid="{D5CDD505-2E9C-101B-9397-08002B2CF9AE}" pid="45" name="FSC#SKEDITIONSLOVLEX@103.510:AttrStrListDocPropPrimarnePravoEU">
    <vt:lpwstr/>
  </property>
  <property fmtid="{D5CDD505-2E9C-101B-9397-08002B2CF9AE}" pid="46" name="FSC#SKEDITIONSLOVLEX@103.510:AttrStrListDocPropSekundarneLegPravoPO">
    <vt:lpwstr/>
  </property>
  <property fmtid="{D5CDD505-2E9C-101B-9397-08002B2CF9AE}" pid="47" name="FSC#SKEDITIONSLOVLEX@103.510:AttrStrListDocPropSekundarneNelegPravoPO">
    <vt:lpwstr/>
  </property>
  <property fmtid="{D5CDD505-2E9C-101B-9397-08002B2CF9AE}" pid="48" name="FSC#SKEDITIONSLOVLEX@103.510:AttrStrListDocPropSekundarneLegPravoDO">
    <vt:lpwstr/>
  </property>
  <property fmtid="{D5CDD505-2E9C-101B-9397-08002B2CF9AE}" pid="49" name="FSC#SKEDITIONSLOVLEX@103.510:AttrStrListDocPropProblematikaPPb">
    <vt:lpwstr/>
  </property>
  <property fmtid="{D5CDD505-2E9C-101B-9397-08002B2CF9AE}" pid="50" name="FSC#SKEDITIONSLOVLEX@103.510:AttrStrListDocPropNazovPredpisuEU">
    <vt:lpwstr/>
  </property>
  <property fmtid="{D5CDD505-2E9C-101B-9397-08002B2CF9AE}" pid="51" name="FSC#SKEDITIONSLOVLEX@103.510:AttrStrListDocPropLehotaPrebratieSmernice">
    <vt:lpwstr/>
  </property>
  <property fmtid="{D5CDD505-2E9C-101B-9397-08002B2CF9AE}" pid="52" name="FSC#SKEDITIONSLOVLEX@103.510:AttrStrListDocPropLehotaNaPredlozenie">
    <vt:lpwstr/>
  </property>
  <property fmtid="{D5CDD505-2E9C-101B-9397-08002B2CF9AE}" pid="53" name="FSC#SKEDITIONSLOVLEX@103.510:AttrStrListDocPropInfoZaciatokKonania">
    <vt:lpwstr/>
  </property>
  <property fmtid="{D5CDD505-2E9C-101B-9397-08002B2CF9AE}" pid="54" name="FSC#SKEDITIONSLOVLEX@103.510:AttrStrListDocPropInfoUzPreberanePP">
    <vt:lpwstr/>
  </property>
  <property fmtid="{D5CDD505-2E9C-101B-9397-08002B2CF9AE}" pid="55" name="FSC#SKEDITIONSLOVLEX@103.510:AttrStrListDocPropStupenZlucitelnostiPP">
    <vt:lpwstr/>
  </property>
  <property fmtid="{D5CDD505-2E9C-101B-9397-08002B2CF9AE}" pid="56" name="FSC#SKEDITIONSLOVLEX@103.510:AttrStrListDocPropGestorSpolupRezorty">
    <vt:lpwstr/>
  </property>
  <property fmtid="{D5CDD505-2E9C-101B-9397-08002B2CF9AE}" pid="57" name="FSC#SKEDITIONSLOVLEX@103.510:AttrDateDocPropZaciatokPKK">
    <vt:lpwstr/>
  </property>
  <property fmtid="{D5CDD505-2E9C-101B-9397-08002B2CF9AE}" pid="58" name="FSC#SKEDITIONSLOVLEX@103.510:AttrDateDocPropUkonceniePKK">
    <vt:lpwstr/>
  </property>
  <property fmtid="{D5CDD505-2E9C-101B-9397-08002B2CF9AE}" pid="59" name="FSC#SKEDITIONSLOVLEX@103.510:AttrStrDocPropVplyvRozpocetVS">
    <vt:lpwstr>Žiadne</vt:lpwstr>
  </property>
  <property fmtid="{D5CDD505-2E9C-101B-9397-08002B2CF9AE}" pid="60" name="FSC#SKEDITIONSLOVLEX@103.510:AttrStrDocPropVplyvPodnikatelskeProstr">
    <vt:lpwstr>Žiadne</vt:lpwstr>
  </property>
  <property fmtid="{D5CDD505-2E9C-101B-9397-08002B2CF9AE}" pid="61" name="FSC#SKEDITIONSLOVLEX@103.510:AttrStrDocPropVplyvSocialny">
    <vt:lpwstr>Žiadne</vt:lpwstr>
  </property>
  <property fmtid="{D5CDD505-2E9C-101B-9397-08002B2CF9AE}" pid="62" name="FSC#SKEDITIONSLOVLEX@103.510:AttrStrDocPropVplyvNaZivotProstr">
    <vt:lpwstr>Žiadne</vt:lpwstr>
  </property>
  <property fmtid="{D5CDD505-2E9C-101B-9397-08002B2CF9AE}" pid="63" name="FSC#SKEDITIONSLOVLEX@103.510:AttrStrDocPropVplyvNaInformatizaciu">
    <vt:lpwstr>Žiadne</vt:lpwstr>
  </property>
  <property fmtid="{D5CDD505-2E9C-101B-9397-08002B2CF9AE}" pid="64" name="FSC#SKEDITIONSLOVLEX@103.510:AttrStrListDocPropPoznamkaVplyv">
    <vt:lpwstr>Žiadne.</vt:lpwstr>
  </property>
  <property fmtid="{D5CDD505-2E9C-101B-9397-08002B2CF9AE}" pid="65" name="FSC#SKEDITIONSLOVLEX@103.510:AttrStrListDocPropAltRiesenia">
    <vt:lpwstr>Nenavrhujú sa.</vt:lpwstr>
  </property>
  <property fmtid="{D5CDD505-2E9C-101B-9397-08002B2CF9AE}" pid="66" name="FSC#SKEDITIONSLOVLEX@103.510:AttrStrListDocPropStanoviskoGest">
    <vt:lpwstr>Nie je.</vt:lpwstr>
  </property>
  <property fmtid="{D5CDD505-2E9C-101B-9397-08002B2CF9AE}" pid="67" name="FSC#SKEDITIONSLOVLEX@103.510:AttrStrListDocPropTextKomunike">
    <vt:lpwstr/>
  </property>
  <property fmtid="{D5CDD505-2E9C-101B-9397-08002B2CF9AE}" pid="68" name="FSC#SKEDITIONSLOVLEX@103.510:AttrStrListDocPropUznesenieCastA">
    <vt:lpwstr/>
  </property>
  <property fmtid="{D5CDD505-2E9C-101B-9397-08002B2CF9AE}" pid="69" name="FSC#SKEDITIONSLOVLEX@103.510:AttrStrListDocPropUznesenieZodpovednyA1">
    <vt:lpwstr/>
  </property>
  <property fmtid="{D5CDD505-2E9C-101B-9397-08002B2CF9AE}" pid="70" name="FSC#SKEDITIONSLOVLEX@103.510:AttrStrListDocPropUznesenieTextA1">
    <vt:lpwstr/>
  </property>
  <property fmtid="{D5CDD505-2E9C-101B-9397-08002B2CF9AE}" pid="71" name="FSC#SKEDITIONSLOVLEX@103.510:AttrStrListDocPropUznesenieTerminA1">
    <vt:lpwstr/>
  </property>
  <property fmtid="{D5CDD505-2E9C-101B-9397-08002B2CF9AE}" pid="72" name="FSC#SKEDITIONSLOVLEX@103.510:AttrStrListDocPropUznesenieBODA1">
    <vt:lpwstr/>
  </property>
  <property fmtid="{D5CDD505-2E9C-101B-9397-08002B2CF9AE}" pid="73" name="FSC#SKEDITIONSLOVLEX@103.510:AttrStrListDocPropUznesenieZodpovednyA2">
    <vt:lpwstr/>
  </property>
  <property fmtid="{D5CDD505-2E9C-101B-9397-08002B2CF9AE}" pid="74" name="FSC#SKEDITIONSLOVLEX@103.510:AttrStrListDocPropUznesenieTextA2">
    <vt:lpwstr/>
  </property>
  <property fmtid="{D5CDD505-2E9C-101B-9397-08002B2CF9AE}" pid="75" name="FSC#SKEDITIONSLOVLEX@103.510:AttrStrListDocPropUznesenieTerminA2">
    <vt:lpwstr/>
  </property>
  <property fmtid="{D5CDD505-2E9C-101B-9397-08002B2CF9AE}" pid="76" name="FSC#SKEDITIONSLOVLEX@103.510:AttrStrListDocPropUznesenieBODA3">
    <vt:lpwstr/>
  </property>
  <property fmtid="{D5CDD505-2E9C-101B-9397-08002B2CF9AE}" pid="77" name="FSC#SKEDITIONSLOVLEX@103.510:AttrStrListDocPropUznesenieZodpovednyA3">
    <vt:lpwstr/>
  </property>
  <property fmtid="{D5CDD505-2E9C-101B-9397-08002B2CF9AE}" pid="78" name="FSC#SKEDITIONSLOVLEX@103.510:AttrStrListDocPropUznesenieTextA3">
    <vt:lpwstr/>
  </property>
  <property fmtid="{D5CDD505-2E9C-101B-9397-08002B2CF9AE}" pid="79" name="FSC#SKEDITIONSLOVLEX@103.510:AttrStrListDocPropUznesenieTerminA3">
    <vt:lpwstr/>
  </property>
  <property fmtid="{D5CDD505-2E9C-101B-9397-08002B2CF9AE}" pid="80" name="FSC#SKEDITIONSLOVLEX@103.510:AttrStrListDocPropUznesenieBODA4">
    <vt:lpwstr/>
  </property>
  <property fmtid="{D5CDD505-2E9C-101B-9397-08002B2CF9AE}" pid="81" name="FSC#SKEDITIONSLOVLEX@103.510:AttrStrListDocPropUznesenieZodpovednyA4">
    <vt:lpwstr/>
  </property>
  <property fmtid="{D5CDD505-2E9C-101B-9397-08002B2CF9AE}" pid="82" name="FSC#SKEDITIONSLOVLEX@103.510:AttrStrListDocPropUznesenieTextA4">
    <vt:lpwstr/>
  </property>
  <property fmtid="{D5CDD505-2E9C-101B-9397-08002B2CF9AE}" pid="83" name="FSC#SKEDITIONSLOVLEX@103.510:AttrStrListDocPropUznesenieTerminA4">
    <vt:lpwstr/>
  </property>
  <property fmtid="{D5CDD505-2E9C-101B-9397-08002B2CF9AE}" pid="84" name="FSC#SKEDITIONSLOVLEX@103.510:AttrStrListDocPropUznesenieCastB">
    <vt:lpwstr/>
  </property>
  <property fmtid="{D5CDD505-2E9C-101B-9397-08002B2CF9AE}" pid="85" name="FSC#SKEDITIONSLOVLEX@103.510:AttrStrListDocPropUznesenieBODB1">
    <vt:lpwstr/>
  </property>
  <property fmtid="{D5CDD505-2E9C-101B-9397-08002B2CF9AE}" pid="86" name="FSC#SKEDITIONSLOVLEX@103.510:AttrStrListDocPropUznesenieZodpovednyB1">
    <vt:lpwstr/>
  </property>
  <property fmtid="{D5CDD505-2E9C-101B-9397-08002B2CF9AE}" pid="87" name="FSC#SKEDITIONSLOVLEX@103.510:AttrStrListDocPropUznesenieTextB1">
    <vt:lpwstr/>
  </property>
  <property fmtid="{D5CDD505-2E9C-101B-9397-08002B2CF9AE}" pid="88" name="FSC#SKEDITIONSLOVLEX@103.510:AttrStrListDocPropUznesenieTerminB1">
    <vt:lpwstr/>
  </property>
  <property fmtid="{D5CDD505-2E9C-101B-9397-08002B2CF9AE}" pid="89" name="FSC#SKEDITIONSLOVLEX@103.510:AttrStrListDocPropUznesenieBODB2">
    <vt:lpwstr/>
  </property>
  <property fmtid="{D5CDD505-2E9C-101B-9397-08002B2CF9AE}" pid="90" name="FSC#SKEDITIONSLOVLEX@103.510:AttrStrListDocPropUznesenieZodpovednyB2">
    <vt:lpwstr/>
  </property>
  <property fmtid="{D5CDD505-2E9C-101B-9397-08002B2CF9AE}" pid="91" name="FSC#SKEDITIONSLOVLEX@103.510:AttrStrListDocPropUznesenieTextB2">
    <vt:lpwstr/>
  </property>
  <property fmtid="{D5CDD505-2E9C-101B-9397-08002B2CF9AE}" pid="92" name="FSC#SKEDITIONSLOVLEX@103.510:AttrStrListDocPropUznesenieTerminB2">
    <vt:lpwstr/>
  </property>
  <property fmtid="{D5CDD505-2E9C-101B-9397-08002B2CF9AE}" pid="93" name="FSC#SKEDITIONSLOVLEX@103.510:AttrStrListDocPropUznesenieBODB3">
    <vt:lpwstr/>
  </property>
  <property fmtid="{D5CDD505-2E9C-101B-9397-08002B2CF9AE}" pid="94" name="FSC#SKEDITIONSLOVLEX@103.510:AttrStrListDocPropUznesenieZodpovednyB3">
    <vt:lpwstr/>
  </property>
  <property fmtid="{D5CDD505-2E9C-101B-9397-08002B2CF9AE}" pid="95" name="FSC#SKEDITIONSLOVLEX@103.510:AttrStrListDocPropUznesenieTextB3">
    <vt:lpwstr/>
  </property>
  <property fmtid="{D5CDD505-2E9C-101B-9397-08002B2CF9AE}" pid="96" name="FSC#SKEDITIONSLOVLEX@103.510:AttrStrListDocPropUznesenieTerminB3">
    <vt:lpwstr/>
  </property>
  <property fmtid="{D5CDD505-2E9C-101B-9397-08002B2CF9AE}" pid="97" name="FSC#SKEDITIONSLOVLEX@103.510:AttrStrListDocPropUznesenieBODB4">
    <vt:lpwstr/>
  </property>
  <property fmtid="{D5CDD505-2E9C-101B-9397-08002B2CF9AE}" pid="98" name="FSC#SKEDITIONSLOVLEX@103.510:AttrStrListDocPropUznesenieZodpovednyB4">
    <vt:lpwstr/>
  </property>
  <property fmtid="{D5CDD505-2E9C-101B-9397-08002B2CF9AE}" pid="99" name="FSC#SKEDITIONSLOVLEX@103.510:AttrStrListDocPropUznesenieTextB4">
    <vt:lpwstr/>
  </property>
  <property fmtid="{D5CDD505-2E9C-101B-9397-08002B2CF9AE}" pid="100" name="FSC#SKEDITIONSLOVLEX@103.510:AttrStrListDocPropUznesenieTerminB4">
    <vt:lpwstr/>
  </property>
  <property fmtid="{D5CDD505-2E9C-101B-9397-08002B2CF9AE}" pid="101" name="FSC#SKEDITIONSLOVLEX@103.510:AttrStrListDocPropUznesenieCastC">
    <vt:lpwstr/>
  </property>
  <property fmtid="{D5CDD505-2E9C-101B-9397-08002B2CF9AE}" pid="102" name="FSC#SKEDITIONSLOVLEX@103.510:AttrStrListDocPropUznesenieBODC1">
    <vt:lpwstr/>
  </property>
  <property fmtid="{D5CDD505-2E9C-101B-9397-08002B2CF9AE}" pid="103" name="FSC#SKEDITIONSLOVLEX@103.510:AttrStrListDocPropUznesenieZodpovednyC1">
    <vt:lpwstr/>
  </property>
  <property fmtid="{D5CDD505-2E9C-101B-9397-08002B2CF9AE}" pid="104" name="FSC#SKEDITIONSLOVLEX@103.510:AttrStrListDocPropUznesenieTextC1">
    <vt:lpwstr/>
  </property>
  <property fmtid="{D5CDD505-2E9C-101B-9397-08002B2CF9AE}" pid="105" name="FSC#SKEDITIONSLOVLEX@103.510:AttrStrListDocPropUznesenieTerminC1">
    <vt:lpwstr/>
  </property>
  <property fmtid="{D5CDD505-2E9C-101B-9397-08002B2CF9AE}" pid="106" name="FSC#SKEDITIONSLOVLEX@103.510:AttrStrListDocPropUznesenieBODC2">
    <vt:lpwstr/>
  </property>
  <property fmtid="{D5CDD505-2E9C-101B-9397-08002B2CF9AE}" pid="107" name="FSC#SKEDITIONSLOVLEX@103.510:AttrStrListDocPropUznesenieZodpovednyC2">
    <vt:lpwstr/>
  </property>
  <property fmtid="{D5CDD505-2E9C-101B-9397-08002B2CF9AE}" pid="108" name="FSC#SKEDITIONSLOVLEX@103.510:AttrStrListDocPropUznesenieTextC2">
    <vt:lpwstr/>
  </property>
  <property fmtid="{D5CDD505-2E9C-101B-9397-08002B2CF9AE}" pid="109" name="FSC#SKEDITIONSLOVLEX@103.510:AttrStrListDocPropUznesenieTerminC2">
    <vt:lpwstr/>
  </property>
  <property fmtid="{D5CDD505-2E9C-101B-9397-08002B2CF9AE}" pid="110" name="FSC#SKEDITIONSLOVLEX@103.510:AttrStrListDocPropUznesenieBODC3">
    <vt:lpwstr/>
  </property>
  <property fmtid="{D5CDD505-2E9C-101B-9397-08002B2CF9AE}" pid="111" name="FSC#SKEDITIONSLOVLEX@103.510:AttrStrListDocPropUznesenieZodpovednyC3">
    <vt:lpwstr/>
  </property>
  <property fmtid="{D5CDD505-2E9C-101B-9397-08002B2CF9AE}" pid="112" name="FSC#SKEDITIONSLOVLEX@103.510:AttrStrListDocPropUznesenieTextC3">
    <vt:lpwstr/>
  </property>
  <property fmtid="{D5CDD505-2E9C-101B-9397-08002B2CF9AE}" pid="113" name="FSC#SKEDITIONSLOVLEX@103.510:AttrStrListDocPropUznesenieTerminC3">
    <vt:lpwstr/>
  </property>
  <property fmtid="{D5CDD505-2E9C-101B-9397-08002B2CF9AE}" pid="114" name="FSC#SKEDITIONSLOVLEX@103.510:AttrStrListDocPropUznesenieBODC4">
    <vt:lpwstr/>
  </property>
  <property fmtid="{D5CDD505-2E9C-101B-9397-08002B2CF9AE}" pid="115" name="FSC#SKEDITIONSLOVLEX@103.510:AttrStrListDocPropUznesenieZodpovednyC4">
    <vt:lpwstr/>
  </property>
  <property fmtid="{D5CDD505-2E9C-101B-9397-08002B2CF9AE}" pid="116" name="FSC#SKEDITIONSLOVLEX@103.510:AttrStrListDocPropUznesenieTextC4">
    <vt:lpwstr/>
  </property>
  <property fmtid="{D5CDD505-2E9C-101B-9397-08002B2CF9AE}" pid="117" name="FSC#SKEDITIONSLOVLEX@103.510:AttrStrListDocPropUznesenieTerminC4">
    <vt:lpwstr/>
  </property>
  <property fmtid="{D5CDD505-2E9C-101B-9397-08002B2CF9AE}" pid="118" name="FSC#SKEDITIONSLOVLEX@103.510:AttrStrListDocPropUznesenieCastD">
    <vt:lpwstr/>
  </property>
  <property fmtid="{D5CDD505-2E9C-101B-9397-08002B2CF9AE}" pid="119" name="FSC#SKEDITIONSLOVLEX@103.510:AttrStrListDocPropUznesenieBODD1">
    <vt:lpwstr/>
  </property>
  <property fmtid="{D5CDD505-2E9C-101B-9397-08002B2CF9AE}" pid="120" name="FSC#SKEDITIONSLOVLEX@103.510:AttrStrListDocPropUznesenieZodpovednyD1">
    <vt:lpwstr/>
  </property>
  <property fmtid="{D5CDD505-2E9C-101B-9397-08002B2CF9AE}" pid="121" name="FSC#SKEDITIONSLOVLEX@103.510:AttrStrListDocPropUznesenieTextD1">
    <vt:lpwstr/>
  </property>
  <property fmtid="{D5CDD505-2E9C-101B-9397-08002B2CF9AE}" pid="122" name="FSC#SKEDITIONSLOVLEX@103.510:AttrStrListDocPropUznesenieTerminD1">
    <vt:lpwstr/>
  </property>
  <property fmtid="{D5CDD505-2E9C-101B-9397-08002B2CF9AE}" pid="123" name="FSC#SKEDITIONSLOVLEX@103.510:AttrStrListDocPropUznesenieBODD2">
    <vt:lpwstr/>
  </property>
  <property fmtid="{D5CDD505-2E9C-101B-9397-08002B2CF9AE}" pid="124" name="FSC#SKEDITIONSLOVLEX@103.510:AttrStrListDocPropUznesenieZodpovednyD2">
    <vt:lpwstr/>
  </property>
  <property fmtid="{D5CDD505-2E9C-101B-9397-08002B2CF9AE}" pid="125" name="FSC#SKEDITIONSLOVLEX@103.510:AttrStrListDocPropUznesenieTextD2">
    <vt:lpwstr/>
  </property>
  <property fmtid="{D5CDD505-2E9C-101B-9397-08002B2CF9AE}" pid="126" name="FSC#SKEDITIONSLOVLEX@103.510:AttrStrListDocPropUznesenieTerminD2">
    <vt:lpwstr/>
  </property>
  <property fmtid="{D5CDD505-2E9C-101B-9397-08002B2CF9AE}" pid="127" name="FSC#SKEDITIONSLOVLEX@103.510:AttrStrListDocPropUznesenieBODD3">
    <vt:lpwstr/>
  </property>
  <property fmtid="{D5CDD505-2E9C-101B-9397-08002B2CF9AE}" pid="128" name="FSC#SKEDITIONSLOVLEX@103.510:AttrStrListDocPropUznesenieZodpovednyD3">
    <vt:lpwstr/>
  </property>
  <property fmtid="{D5CDD505-2E9C-101B-9397-08002B2CF9AE}" pid="129" name="FSC#SKEDITIONSLOVLEX@103.510:AttrStrListDocPropUznesenieTextD3">
    <vt:lpwstr/>
  </property>
  <property fmtid="{D5CDD505-2E9C-101B-9397-08002B2CF9AE}" pid="130" name="FSC#SKEDITIONSLOVLEX@103.510:AttrStrListDocPropUznesenieTerminD3">
    <vt:lpwstr/>
  </property>
  <property fmtid="{D5CDD505-2E9C-101B-9397-08002B2CF9AE}" pid="131" name="FSC#SKEDITIONSLOVLEX@103.510:AttrStrListDocPropUznesenieBODD4">
    <vt:lpwstr/>
  </property>
  <property fmtid="{D5CDD505-2E9C-101B-9397-08002B2CF9AE}" pid="132" name="FSC#SKEDITIONSLOVLEX@103.510:AttrStrListDocPropUznesenieZodpovednyD4">
    <vt:lpwstr/>
  </property>
  <property fmtid="{D5CDD505-2E9C-101B-9397-08002B2CF9AE}" pid="133" name="FSC#SKEDITIONSLOVLEX@103.510:AttrStrListDocPropUznesenieTextD4">
    <vt:lpwstr/>
  </property>
  <property fmtid="{D5CDD505-2E9C-101B-9397-08002B2CF9AE}" pid="134" name="FSC#SKEDITIONSLOVLEX@103.510:AttrStrListDocPropUznesenieTerminD4">
    <vt:lpwstr/>
  </property>
  <property fmtid="{D5CDD505-2E9C-101B-9397-08002B2CF9AE}" pid="135" name="FSC#SKEDITIONSLOVLEX@103.510:AttrStrListDocPropUznesenieVykonaju">
    <vt:lpwstr/>
  </property>
  <property fmtid="{D5CDD505-2E9C-101B-9397-08002B2CF9AE}" pid="136" name="FSC#SKEDITIONSLOVLEX@103.510:AttrStrListDocPropUznesenieNaVedomie">
    <vt:lpwstr/>
  </property>
  <property fmtid="{D5CDD505-2E9C-101B-9397-08002B2CF9AE}" pid="137" name="FSC#SKEDITIONSLOVLEX@103.510:funkciaPred">
    <vt:lpwstr/>
  </property>
  <property fmtid="{D5CDD505-2E9C-101B-9397-08002B2CF9AE}" pid="138" name="FSC#SKEDITIONSLOVLEX@103.510:funkciaPredAkuzativ">
    <vt:lpwstr/>
  </property>
  <property fmtid="{D5CDD505-2E9C-101B-9397-08002B2CF9AE}" pid="139" name="FSC#SKEDITIONSLOVLEX@103.510:funkciaPredDativ">
    <vt:lpwstr/>
  </property>
  <property fmtid="{D5CDD505-2E9C-101B-9397-08002B2CF9AE}" pid="140" name="FSC#SKEDITIONSLOVLEX@103.510:funkciaZodpPred">
    <vt:lpwstr>minister zahraničných vecí a európskych záležitostí Slovenskej republiky</vt:lpwstr>
  </property>
  <property fmtid="{D5CDD505-2E9C-101B-9397-08002B2CF9AE}" pid="141" name="FSC#SKEDITIONSLOVLEX@103.510:funkciaZodpPredAkuzativ">
    <vt:lpwstr>ministrovi zahraničných vecí a európskych záležitostí Slovenskej republiky</vt:lpwstr>
  </property>
  <property fmtid="{D5CDD505-2E9C-101B-9397-08002B2CF9AE}" pid="142" name="FSC#SKEDITIONSLOVLEX@103.510:funkciaZodpPredDativ">
    <vt:lpwstr>ministra zahraničných vecí a európskych záležitostí Slovenskej republiky</vt:lpwstr>
  </property>
  <property fmtid="{D5CDD505-2E9C-101B-9397-08002B2CF9AE}" pid="143" name="FSC#SKEDITIONSLOVLEX@103.510:funkciaDalsiPred">
    <vt:lpwstr/>
  </property>
  <property fmtid="{D5CDD505-2E9C-101B-9397-08002B2CF9AE}" pid="144" name="FSC#SKEDITIONSLOVLEX@103.510:funkciaDalsiPredAkuzativ">
    <vt:lpwstr/>
  </property>
  <property fmtid="{D5CDD505-2E9C-101B-9397-08002B2CF9AE}" pid="145" name="FSC#SKEDITIONSLOVLEX@103.510:funkciaDalsiPredDativ">
    <vt:lpwstr/>
  </property>
  <property fmtid="{D5CDD505-2E9C-101B-9397-08002B2CF9AE}" pid="146" name="FSC#SKEDITIONSLOVLEX@103.510:predkladateliaObalSD">
    <vt:lpwstr>Miroslav Lajčák_x000d_
minister zahraničných vecí a európskych záležitostí Slovenskej republiky</vt:lpwstr>
  </property>
  <property fmtid="{D5CDD505-2E9C-101B-9397-08002B2CF9AE}" pid="147" name="FSC#SKEDITIONSLOVLEX@103.510:AttrStrListDocPropTextVseobPrilohy">
    <vt:lpwstr/>
  </property>
  <property fmtid="{D5CDD505-2E9C-101B-9397-08002B2CF9AE}" pid="148" name="FSC#SKEDITIONSLOVLEX@103.510:AttrStrListDocPropTextPredklSpravy">
    <vt:lpwstr>&lt;p style="text-align: justify;"&gt;„Správa o&amp;nbsp;pôsobení Slovenskej republiky v&amp;nbsp;aktivitách medzinárodného krízového manažmentu za rok 2018“ sa predkladá na základe úlohy z&amp;nbsp;uznesenia vlády SR č. 539/2012 z&amp;nbsp;10. októbra 2012. V&amp;nbsp;poradí sied</vt:lpwstr>
  </property>
  <property fmtid="{D5CDD505-2E9C-101B-9397-08002B2CF9AE}" pid="149" name="FSC#COOSYSTEM@1.1:Container">
    <vt:lpwstr>COO.2145.1000.3.3223295</vt:lpwstr>
  </property>
  <property fmtid="{D5CDD505-2E9C-101B-9397-08002B2CF9AE}" pid="150" name="FSC#FSCFOLIO@1.1001:docpropproject">
    <vt:lpwstr/>
  </property>
  <property fmtid="{D5CDD505-2E9C-101B-9397-08002B2CF9AE}" pid="151" name="FSC#SKEDITIONSLOVLEX@103.510:aktualnyrok">
    <vt:lpwstr>2019</vt:lpwstr>
  </property>
  <property fmtid="{D5CDD505-2E9C-101B-9397-08002B2CF9AE}" pid="152" name="FSC#SKEDITIONSLOVLEX@103.510:vytvorenedna">
    <vt:lpwstr>21. 2. 2019</vt:lpwstr>
  </property>
  <property fmtid="{D5CDD505-2E9C-101B-9397-08002B2CF9AE}" pid="153" name="ContentTypeId">
    <vt:lpwstr>0x0101006C0C8C3C1E3DCC44BECE3792677AD011</vt:lpwstr>
  </property>
  <property fmtid="{D5CDD505-2E9C-101B-9397-08002B2CF9AE}" pid="154" name="_dlc_DocIdItemGuid">
    <vt:lpwstr>50f8bf51-4bec-4d2f-a8bb-5a826fada83c</vt:lpwstr>
  </property>
</Properties>
</file>